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1460A">
      <w:pPr>
        <w:jc w:val="center"/>
        <w:rPr>
          <w:rFonts w:hint="eastAsia" w:ascii="宋体" w:hAnsi="宋体"/>
          <w:b/>
          <w:color w:val="auto"/>
          <w:sz w:val="72"/>
          <w:highlight w:val="none"/>
        </w:rPr>
      </w:pPr>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714A0DD6">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398F208B">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5108549A">
      <w:pPr>
        <w:spacing w:line="360" w:lineRule="auto"/>
        <w:ind w:firstLine="1438" w:firstLineChars="398"/>
        <w:rPr>
          <w:rFonts w:hint="eastAsia" w:ascii="宋体" w:hAnsi="宋体"/>
          <w:b/>
          <w:color w:val="auto"/>
          <w:sz w:val="36"/>
          <w:highlight w:val="none"/>
        </w:rPr>
      </w:pPr>
    </w:p>
    <w:p w14:paraId="66B96564">
      <w:pPr>
        <w:spacing w:line="360" w:lineRule="auto"/>
        <w:ind w:firstLine="1438" w:firstLineChars="398"/>
        <w:rPr>
          <w:rFonts w:hint="eastAsia" w:ascii="宋体" w:hAnsi="宋体"/>
          <w:b/>
          <w:color w:val="auto"/>
          <w:sz w:val="36"/>
          <w:highlight w:val="none"/>
        </w:rPr>
      </w:pPr>
    </w:p>
    <w:p w14:paraId="7021262B">
      <w:pPr>
        <w:spacing w:line="360" w:lineRule="auto"/>
        <w:ind w:firstLine="1438" w:firstLineChars="398"/>
        <w:rPr>
          <w:rFonts w:hint="eastAsia" w:ascii="宋体" w:hAnsi="宋体"/>
          <w:b/>
          <w:color w:val="auto"/>
          <w:sz w:val="36"/>
          <w:highlight w:val="none"/>
        </w:rPr>
      </w:pPr>
    </w:p>
    <w:p w14:paraId="211513E8">
      <w:pPr>
        <w:spacing w:line="360" w:lineRule="auto"/>
        <w:ind w:firstLine="1438" w:firstLineChars="398"/>
        <w:rPr>
          <w:rFonts w:hint="eastAsia" w:ascii="宋体" w:hAnsi="宋体"/>
          <w:b/>
          <w:color w:val="auto"/>
          <w:sz w:val="36"/>
          <w:highlight w:val="none"/>
        </w:rPr>
      </w:pPr>
    </w:p>
    <w:p w14:paraId="263AFC59">
      <w:pPr>
        <w:spacing w:line="360" w:lineRule="auto"/>
        <w:ind w:firstLine="1438" w:firstLineChars="398"/>
        <w:rPr>
          <w:rFonts w:hint="eastAsia" w:ascii="宋体" w:hAnsi="宋体" w:eastAsia="宋体"/>
          <w:b/>
          <w:color w:val="auto"/>
          <w:sz w:val="36"/>
          <w:highlight w:val="none"/>
          <w:u w:val="single"/>
          <w:lang w:val="en-US" w:eastAsia="zh-CN"/>
        </w:rPr>
      </w:pPr>
      <w:r>
        <w:rPr>
          <w:rFonts w:hint="eastAsia" w:ascii="宋体" w:hAnsi="宋体"/>
          <w:b/>
          <w:color w:val="auto"/>
          <w:sz w:val="36"/>
          <w:highlight w:val="none"/>
        </w:rPr>
        <w:t>招 标 编 号：</w:t>
      </w:r>
      <w:r>
        <w:rPr>
          <w:rFonts w:hint="eastAsia" w:ascii="宋体" w:hAnsi="宋体"/>
          <w:b/>
          <w:color w:val="auto"/>
          <w:sz w:val="36"/>
          <w:highlight w:val="none"/>
          <w:u w:val="none"/>
        </w:rPr>
        <w:t>XM</w:t>
      </w:r>
      <w:r>
        <w:rPr>
          <w:rFonts w:hint="eastAsia" w:ascii="宋体" w:hAnsi="宋体"/>
          <w:b/>
          <w:color w:val="auto"/>
          <w:sz w:val="36"/>
          <w:highlight w:val="none"/>
          <w:u w:val="none"/>
          <w:lang w:eastAsia="zh-CN"/>
        </w:rPr>
        <w:t>2025</w:t>
      </w:r>
      <w:r>
        <w:rPr>
          <w:rFonts w:hint="eastAsia" w:ascii="宋体" w:hAnsi="宋体"/>
          <w:b/>
          <w:color w:val="auto"/>
          <w:sz w:val="36"/>
          <w:highlight w:val="none"/>
          <w:u w:val="none"/>
        </w:rPr>
        <w:t>-</w:t>
      </w:r>
      <w:r>
        <w:rPr>
          <w:rFonts w:hint="eastAsia" w:ascii="宋体" w:hAnsi="宋体"/>
          <w:b/>
          <w:color w:val="auto"/>
          <w:sz w:val="36"/>
          <w:highlight w:val="none"/>
          <w:u w:val="none"/>
          <w:lang w:eastAsia="zh-CN"/>
        </w:rPr>
        <w:t>DZ0042</w:t>
      </w:r>
    </w:p>
    <w:p w14:paraId="4821D779">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称：新建学生宿舍家具</w:t>
      </w:r>
    </w:p>
    <w:p w14:paraId="63E4D4D9">
      <w:pPr>
        <w:spacing w:line="360" w:lineRule="auto"/>
        <w:ind w:firstLine="1438" w:firstLineChars="398"/>
        <w:rPr>
          <w:rFonts w:hint="eastAsia" w:ascii="宋体" w:hAnsi="宋体"/>
          <w:b/>
          <w:color w:val="auto"/>
          <w:sz w:val="36"/>
          <w:highlight w:val="none"/>
        </w:rPr>
      </w:pPr>
    </w:p>
    <w:p w14:paraId="6E8B358C">
      <w:pPr>
        <w:spacing w:line="360" w:lineRule="auto"/>
        <w:ind w:firstLine="1438" w:firstLineChars="398"/>
        <w:rPr>
          <w:rFonts w:hint="eastAsia" w:ascii="宋体" w:hAnsi="宋体"/>
          <w:b/>
          <w:color w:val="auto"/>
          <w:sz w:val="36"/>
          <w:highlight w:val="none"/>
        </w:rPr>
      </w:pPr>
    </w:p>
    <w:p w14:paraId="46C9DBFE">
      <w:pPr>
        <w:spacing w:line="360" w:lineRule="auto"/>
        <w:ind w:firstLine="1438" w:firstLineChars="398"/>
        <w:rPr>
          <w:rFonts w:hint="eastAsia" w:ascii="宋体" w:hAnsi="宋体"/>
          <w:b/>
          <w:color w:val="auto"/>
          <w:sz w:val="36"/>
          <w:highlight w:val="none"/>
        </w:rPr>
      </w:pPr>
    </w:p>
    <w:p w14:paraId="019DA753">
      <w:pPr>
        <w:spacing w:line="360" w:lineRule="auto"/>
        <w:ind w:firstLine="1438" w:firstLineChars="398"/>
        <w:rPr>
          <w:rFonts w:hint="eastAsia" w:ascii="宋体" w:hAnsi="宋体"/>
          <w:b/>
          <w:color w:val="auto"/>
          <w:sz w:val="36"/>
          <w:highlight w:val="none"/>
        </w:rPr>
      </w:pPr>
    </w:p>
    <w:p w14:paraId="18749F16">
      <w:pPr>
        <w:spacing w:line="360" w:lineRule="auto"/>
        <w:ind w:firstLine="1438" w:firstLineChars="398"/>
        <w:rPr>
          <w:rFonts w:hint="eastAsia" w:ascii="宋体" w:hAnsi="宋体"/>
          <w:b/>
          <w:color w:val="auto"/>
          <w:sz w:val="36"/>
          <w:highlight w:val="none"/>
        </w:rPr>
      </w:pPr>
    </w:p>
    <w:p w14:paraId="016F7703">
      <w:pPr>
        <w:pStyle w:val="5"/>
        <w:spacing w:line="360" w:lineRule="auto"/>
        <w:ind w:firstLine="1438" w:firstLineChars="398"/>
        <w:jc w:val="left"/>
        <w:rPr>
          <w:rFonts w:hint="eastAsia" w:hAnsi="宋体"/>
          <w:b/>
          <w:color w:val="auto"/>
          <w:spacing w:val="20"/>
          <w:sz w:val="32"/>
          <w:highlight w:val="none"/>
        </w:rPr>
      </w:pPr>
    </w:p>
    <w:p w14:paraId="3D4CA265">
      <w:pPr>
        <w:pStyle w:val="5"/>
        <w:spacing w:line="360" w:lineRule="auto"/>
        <w:ind w:firstLine="1438" w:firstLineChars="398"/>
        <w:jc w:val="left"/>
        <w:rPr>
          <w:rFonts w:hint="eastAsia" w:hAnsi="宋体"/>
          <w:b/>
          <w:bCs/>
          <w:color w:val="auto"/>
          <w:sz w:val="32"/>
          <w:highlight w:val="none"/>
          <w:u w:val="single"/>
        </w:rPr>
      </w:pPr>
      <w:r>
        <w:rPr>
          <w:rFonts w:hint="eastAsia" w:hAnsi="宋体"/>
          <w:b/>
          <w:color w:val="auto"/>
          <w:spacing w:val="20"/>
          <w:sz w:val="32"/>
          <w:highlight w:val="none"/>
        </w:rPr>
        <w:t>使用单位：厦门城市职业学院</w:t>
      </w:r>
    </w:p>
    <w:p w14:paraId="758C1442">
      <w:pPr>
        <w:pStyle w:val="5"/>
        <w:spacing w:line="360" w:lineRule="auto"/>
        <w:ind w:firstLine="1438" w:firstLineChars="398"/>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59F1B132">
      <w:pPr>
        <w:pStyle w:val="5"/>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5C6BC846">
      <w:pPr>
        <w:spacing w:line="360" w:lineRule="auto"/>
        <w:ind w:firstLine="1438" w:firstLineChars="398"/>
        <w:rPr>
          <w:rFonts w:hint="eastAsia" w:ascii="宋体" w:hAnsi="宋体"/>
          <w:b/>
          <w:color w:val="auto"/>
          <w:sz w:val="36"/>
          <w:highlight w:val="none"/>
        </w:rPr>
      </w:pPr>
    </w:p>
    <w:p w14:paraId="53B60383">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2025</w:t>
      </w:r>
      <w:r>
        <w:rPr>
          <w:rFonts w:hint="eastAsia" w:hAnsi="宋体"/>
          <w:b/>
          <w:color w:val="auto"/>
          <w:sz w:val="32"/>
          <w:highlight w:val="none"/>
        </w:rPr>
        <w:t>年</w:t>
      </w:r>
    </w:p>
    <w:p w14:paraId="1752AA22">
      <w:pPr>
        <w:jc w:val="left"/>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483D57A4">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5764B4DF">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5D22176C">
      <w:pPr>
        <w:rPr>
          <w:rFonts w:hint="eastAsia" w:ascii="宋体" w:hAnsi="宋体" w:eastAsia="宋体" w:cs="宋体"/>
          <w:color w:val="auto"/>
          <w:sz w:val="24"/>
          <w:szCs w:val="24"/>
          <w:highlight w:val="none"/>
        </w:rPr>
      </w:pPr>
    </w:p>
    <w:p w14:paraId="79E27E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5B4133EC">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2BF0A8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64B1601D">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24B6D4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414456A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24784E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07A50C71">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7C9DA3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5C22BFE1">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053393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rPr>
        <w:t xml:space="preserve">厦门银行股份有限公司 </w:t>
      </w:r>
    </w:p>
    <w:p w14:paraId="4F09A7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6E8B0F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47C7A9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44A31DC6">
      <w:pPr>
        <w:spacing w:line="360" w:lineRule="auto"/>
        <w:ind w:firstLine="480" w:firstLineChars="200"/>
        <w:rPr>
          <w:rFonts w:hint="eastAsia" w:ascii="宋体" w:hAnsi="宋体" w:eastAsia="宋体" w:cs="宋体"/>
          <w:color w:val="auto"/>
          <w:sz w:val="24"/>
          <w:szCs w:val="24"/>
          <w:highlight w:val="none"/>
        </w:rPr>
      </w:pPr>
    </w:p>
    <w:p w14:paraId="70D73778">
      <w:pPr>
        <w:spacing w:line="360" w:lineRule="auto"/>
        <w:ind w:firstLine="480" w:firstLineChars="200"/>
        <w:rPr>
          <w:rFonts w:hint="eastAsia" w:ascii="宋体" w:hAnsi="宋体" w:eastAsia="宋体" w:cs="宋体"/>
          <w:color w:val="auto"/>
          <w:sz w:val="24"/>
          <w:szCs w:val="24"/>
          <w:highlight w:val="none"/>
        </w:rPr>
      </w:pPr>
    </w:p>
    <w:p w14:paraId="7ADB2CA2">
      <w:pPr>
        <w:spacing w:line="360" w:lineRule="auto"/>
        <w:ind w:firstLine="480" w:firstLineChars="200"/>
        <w:rPr>
          <w:rFonts w:hint="eastAsia" w:ascii="宋体" w:hAnsi="宋体" w:eastAsia="宋体" w:cs="宋体"/>
          <w:color w:val="auto"/>
          <w:sz w:val="24"/>
          <w:szCs w:val="24"/>
          <w:highlight w:val="none"/>
        </w:rPr>
      </w:pPr>
    </w:p>
    <w:p w14:paraId="283F53F4">
      <w:pPr>
        <w:spacing w:line="360" w:lineRule="auto"/>
        <w:ind w:firstLine="480" w:firstLineChars="200"/>
        <w:rPr>
          <w:rFonts w:hint="eastAsia" w:ascii="宋体" w:hAnsi="宋体" w:eastAsia="宋体" w:cs="宋体"/>
          <w:color w:val="auto"/>
          <w:sz w:val="24"/>
          <w:szCs w:val="24"/>
          <w:highlight w:val="none"/>
        </w:rPr>
      </w:pPr>
    </w:p>
    <w:p w14:paraId="1D71BF6E">
      <w:pPr>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br w:type="page"/>
      </w:r>
    </w:p>
    <w:p w14:paraId="5E48C37A">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139E9141">
      <w:pPr>
        <w:pStyle w:val="2"/>
        <w:snapToGrid w:val="0"/>
        <w:spacing w:line="360" w:lineRule="auto"/>
        <w:ind w:firstLine="0"/>
        <w:rPr>
          <w:rFonts w:hint="eastAsia" w:ascii="宋体" w:hAnsi="宋体" w:eastAsia="宋体" w:cs="宋体"/>
          <w:color w:val="auto"/>
          <w:sz w:val="24"/>
          <w:szCs w:val="24"/>
          <w:highlight w:val="none"/>
        </w:rPr>
      </w:pPr>
    </w:p>
    <w:p w14:paraId="5824E626">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547C1467">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542D95E3">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46680B9A">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2345C4D4">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78F22C0A">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0DE2E3E2">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26085186">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6BFA0C9C">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56051D9C">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7876F5F1">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3974E377">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58B26D2B">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0A6FFE52">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14:paraId="467116DE">
      <w:pPr>
        <w:pStyle w:val="17"/>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284F6D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b/>
          <w:bCs/>
          <w:color w:val="auto"/>
          <w:sz w:val="24"/>
          <w:szCs w:val="24"/>
          <w:highlight w:val="none"/>
        </w:rPr>
        <w:t>新建学生宿舍家具</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货物（或服务）进行国内公开招标，现欢迎国内合格的投标人前来投标。</w:t>
      </w:r>
    </w:p>
    <w:p w14:paraId="7C174ECC">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2025</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eastAsia="zh-CN"/>
        </w:rPr>
        <w:t>DZ0042</w:t>
      </w:r>
      <w:r>
        <w:rPr>
          <w:rFonts w:hint="eastAsia" w:ascii="宋体" w:hAnsi="宋体" w:eastAsia="宋体" w:cs="宋体"/>
          <w:color w:val="auto"/>
          <w:sz w:val="24"/>
          <w:szCs w:val="24"/>
          <w:highlight w:val="none"/>
          <w:u w:val="single"/>
        </w:rPr>
        <w:t xml:space="preserve">。 </w:t>
      </w:r>
    </w:p>
    <w:p w14:paraId="1E63F3E0">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2BAFA9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
          <w:bCs w:val="0"/>
          <w:color w:val="auto"/>
          <w:sz w:val="24"/>
          <w:szCs w:val="24"/>
          <w:highlight w:val="none"/>
          <w:lang w:eastAsia="zh-CN"/>
        </w:rPr>
        <w:t>2025</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11</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17</w:t>
      </w:r>
      <w:r>
        <w:rPr>
          <w:rFonts w:hint="eastAsia" w:ascii="宋体" w:hAnsi="宋体" w:eastAsia="宋体" w:cs="宋体"/>
          <w:b/>
          <w:bCs w:val="0"/>
          <w:color w:val="auto"/>
          <w:sz w:val="24"/>
          <w:szCs w:val="24"/>
          <w:highlight w:val="none"/>
        </w:rPr>
        <w:t>日至</w:t>
      </w:r>
      <w:r>
        <w:rPr>
          <w:rFonts w:hint="eastAsia" w:ascii="宋体" w:hAnsi="宋体" w:cs="宋体"/>
          <w:b/>
          <w:bCs w:val="0"/>
          <w:color w:val="auto"/>
          <w:sz w:val="24"/>
          <w:szCs w:val="24"/>
          <w:highlight w:val="none"/>
          <w:lang w:eastAsia="zh-CN"/>
        </w:rPr>
        <w:t>2025</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11</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24</w:t>
      </w:r>
      <w:r>
        <w:rPr>
          <w:rFonts w:hint="eastAsia" w:ascii="宋体" w:hAnsi="宋体" w:eastAsia="宋体" w:cs="宋体"/>
          <w:b/>
          <w:bCs w:val="0"/>
          <w:color w:val="auto"/>
          <w:sz w:val="24"/>
          <w:szCs w:val="24"/>
          <w:highlight w:val="none"/>
        </w:rPr>
        <w:t>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14:paraId="7803F7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5BBAD4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5A05A4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238C3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68AFFD0D">
      <w:pPr>
        <w:pStyle w:val="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4、招标文件售价：</w:t>
      </w:r>
      <w:r>
        <w:rPr>
          <w:rFonts w:hint="eastAsia" w:hAnsi="宋体" w:eastAsia="宋体" w:cs="宋体"/>
          <w:b/>
          <w:bCs/>
          <w:color w:val="auto"/>
          <w:sz w:val="24"/>
          <w:szCs w:val="24"/>
          <w:highlight w:val="none"/>
        </w:rPr>
        <w:t>每个合同包</w:t>
      </w:r>
      <w:r>
        <w:rPr>
          <w:rFonts w:hint="eastAsia" w:hAnsi="宋体" w:eastAsia="宋体" w:cs="宋体"/>
          <w:b/>
          <w:bCs/>
          <w:color w:val="auto"/>
          <w:sz w:val="24"/>
          <w:szCs w:val="24"/>
          <w:highlight w:val="none"/>
          <w:u w:val="single"/>
        </w:rPr>
        <w:t xml:space="preserve"> </w:t>
      </w:r>
      <w:r>
        <w:rPr>
          <w:rFonts w:hint="eastAsia" w:hAnsi="宋体" w:eastAsia="宋体" w:cs="宋体"/>
          <w:b/>
          <w:bCs/>
          <w:color w:val="auto"/>
          <w:sz w:val="24"/>
          <w:szCs w:val="24"/>
          <w:highlight w:val="none"/>
          <w:u w:val="single"/>
          <w:lang w:val="en-US" w:eastAsia="zh-CN"/>
        </w:rPr>
        <w:t>0</w:t>
      </w:r>
      <w:r>
        <w:rPr>
          <w:rFonts w:hint="eastAsia" w:hAnsi="宋体" w:eastAsia="宋体" w:cs="宋体"/>
          <w:b/>
          <w:bCs/>
          <w:color w:val="auto"/>
          <w:sz w:val="24"/>
          <w:szCs w:val="24"/>
          <w:highlight w:val="none"/>
        </w:rPr>
        <w:t>元人民币</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rPr>
        <w:t>邮寄费人民币50元，</w:t>
      </w:r>
      <w:r>
        <w:rPr>
          <w:rFonts w:hint="eastAsia" w:hAnsi="宋体" w:eastAsia="宋体" w:cs="宋体"/>
          <w:b/>
          <w:bCs/>
          <w:color w:val="auto"/>
          <w:sz w:val="24"/>
          <w:szCs w:val="24"/>
          <w:highlight w:val="none"/>
        </w:rPr>
        <w:t>售后不退。</w:t>
      </w:r>
    </w:p>
    <w:p w14:paraId="11EF0F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b/>
          <w:bCs/>
          <w:color w:val="auto"/>
          <w:sz w:val="24"/>
          <w:szCs w:val="24"/>
          <w:highlight w:val="none"/>
          <w:lang w:eastAsia="zh-CN"/>
        </w:rPr>
        <w:t>2025</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日</w:t>
      </w:r>
      <w:r>
        <w:rPr>
          <w:rFonts w:hint="eastAsia" w:ascii="宋体" w:hAnsi="宋体" w:cs="宋体"/>
          <w:b/>
          <w:bCs/>
          <w:color w:val="auto"/>
          <w:sz w:val="24"/>
          <w:szCs w:val="24"/>
          <w:highlight w:val="none"/>
          <w:lang w:val="en-US" w:eastAsia="zh-CN"/>
        </w:rPr>
        <w:t>下</w:t>
      </w:r>
      <w:r>
        <w:rPr>
          <w:rFonts w:hint="eastAsia" w:ascii="宋体" w:hAnsi="宋体" w:eastAsia="宋体" w:cs="宋体"/>
          <w:b/>
          <w:bCs/>
          <w:color w:val="auto"/>
          <w:sz w:val="24"/>
          <w:szCs w:val="24"/>
          <w:highlight w:val="none"/>
        </w:rPr>
        <w:t>午</w:t>
      </w:r>
      <w:r>
        <w:rPr>
          <w:rFonts w:hint="eastAsia" w:ascii="宋体" w:hAnsi="宋体" w:cs="宋体"/>
          <w:b/>
          <w:bCs/>
          <w:color w:val="auto"/>
          <w:sz w:val="24"/>
          <w:szCs w:val="24"/>
          <w:highlight w:val="none"/>
          <w:lang w:val="en-US" w:eastAsia="zh-CN"/>
        </w:rPr>
        <w:t>13</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0</w:t>
      </w:r>
      <w:r>
        <w:rPr>
          <w:rFonts w:hint="eastAsia" w:ascii="宋体" w:hAnsi="宋体" w:eastAsia="宋体" w:cs="宋体"/>
          <w:color w:val="auto"/>
          <w:sz w:val="24"/>
          <w:szCs w:val="24"/>
          <w:highlight w:val="none"/>
        </w:rPr>
        <w:t>（北京时间）之前提交到</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eastAsia="zh-CN"/>
        </w:rPr>
        <w:t>开标室3(C401)</w:t>
      </w:r>
      <w:r>
        <w:rPr>
          <w:rFonts w:hint="eastAsia" w:ascii="宋体" w:hAnsi="宋体" w:eastAsia="宋体" w:cs="宋体"/>
          <w:color w:val="auto"/>
          <w:sz w:val="24"/>
          <w:szCs w:val="24"/>
          <w:highlight w:val="none"/>
        </w:rPr>
        <w:t>。逾期收到的或不符合规定的投标文件将被拒绝。</w:t>
      </w:r>
      <w:r>
        <w:rPr>
          <w:rFonts w:hint="eastAsia" w:ascii="宋体" w:hAnsi="宋体" w:cs="宋体"/>
          <w:color w:val="auto"/>
          <w:sz w:val="24"/>
          <w:szCs w:val="24"/>
          <w:highlight w:val="none"/>
          <w:lang w:val="en-US" w:eastAsia="zh-CN"/>
        </w:rPr>
        <w:t>不接受邮寄投标文件</w:t>
      </w:r>
      <w:r>
        <w:rPr>
          <w:rFonts w:hint="eastAsia" w:ascii="宋体" w:hAnsi="宋体" w:cs="宋体"/>
          <w:b w:val="0"/>
          <w:bCs w:val="0"/>
          <w:color w:val="auto"/>
          <w:sz w:val="24"/>
          <w:szCs w:val="24"/>
          <w:highlight w:val="none"/>
          <w:u w:val="none"/>
        </w:rPr>
        <w:t>。</w:t>
      </w:r>
    </w:p>
    <w:p w14:paraId="6159EBBC">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6、开标时间、地点: </w:t>
      </w:r>
      <w:r>
        <w:rPr>
          <w:rFonts w:hint="eastAsia" w:ascii="宋体" w:hAnsi="宋体" w:cs="宋体"/>
          <w:b/>
          <w:bCs/>
          <w:color w:val="auto"/>
          <w:sz w:val="24"/>
          <w:szCs w:val="24"/>
          <w:highlight w:val="none"/>
          <w:lang w:eastAsia="zh-CN"/>
        </w:rPr>
        <w:t>2025</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日</w:t>
      </w:r>
      <w:r>
        <w:rPr>
          <w:rFonts w:hint="eastAsia" w:ascii="宋体" w:hAnsi="宋体" w:cs="宋体"/>
          <w:b/>
          <w:bCs/>
          <w:color w:val="auto"/>
          <w:sz w:val="24"/>
          <w:szCs w:val="24"/>
          <w:highlight w:val="none"/>
          <w:lang w:val="en-US" w:eastAsia="zh-CN"/>
        </w:rPr>
        <w:t>下</w:t>
      </w:r>
      <w:r>
        <w:rPr>
          <w:rFonts w:hint="eastAsia" w:ascii="宋体" w:hAnsi="宋体" w:eastAsia="宋体" w:cs="宋体"/>
          <w:b/>
          <w:bCs/>
          <w:color w:val="auto"/>
          <w:sz w:val="24"/>
          <w:szCs w:val="24"/>
          <w:highlight w:val="none"/>
        </w:rPr>
        <w:t>午</w:t>
      </w:r>
      <w:r>
        <w:rPr>
          <w:rFonts w:hint="eastAsia" w:ascii="宋体" w:hAnsi="宋体" w:cs="宋体"/>
          <w:b/>
          <w:bCs/>
          <w:color w:val="auto"/>
          <w:sz w:val="24"/>
          <w:szCs w:val="24"/>
          <w:highlight w:val="none"/>
          <w:lang w:val="en-US" w:eastAsia="zh-CN"/>
        </w:rPr>
        <w:t>13</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0</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eastAsia="zh-CN"/>
        </w:rPr>
        <w:t>开标室3(C401)</w:t>
      </w:r>
      <w:r>
        <w:rPr>
          <w:rFonts w:hint="eastAsia" w:ascii="宋体" w:hAnsi="宋体" w:eastAsia="宋体" w:cs="宋体"/>
          <w:color w:val="auto"/>
          <w:sz w:val="24"/>
          <w:szCs w:val="24"/>
          <w:highlight w:val="none"/>
        </w:rPr>
        <w:t>。</w:t>
      </w:r>
    </w:p>
    <w:p w14:paraId="69BF012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eastAsia="宋体" w:cs="宋体"/>
          <w:b/>
          <w:bCs/>
          <w:color w:val="auto"/>
          <w:sz w:val="24"/>
          <w:szCs w:val="24"/>
          <w:highlight w:val="none"/>
        </w:rPr>
        <w:t>不接受</w:t>
      </w:r>
      <w:r>
        <w:rPr>
          <w:rFonts w:hint="eastAsia" w:ascii="宋体" w:hAnsi="宋体" w:eastAsia="宋体" w:cs="宋体"/>
          <w:color w:val="auto"/>
          <w:sz w:val="24"/>
          <w:szCs w:val="24"/>
          <w:highlight w:val="none"/>
        </w:rPr>
        <w:t>）联合体投标。</w:t>
      </w:r>
    </w:p>
    <w:p w14:paraId="4CC17E8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w:t>
      </w:r>
      <w:r>
        <w:rPr>
          <w:rFonts w:hint="eastAsia" w:ascii="宋体" w:hAnsi="宋体" w:cs="宋体"/>
          <w:bCs/>
          <w:color w:val="auto"/>
          <w:sz w:val="24"/>
          <w:szCs w:val="24"/>
          <w:highlight w:val="none"/>
          <w:lang w:eastAsia="zh-CN"/>
        </w:rPr>
        <w:t>福建省政府采购网</w:t>
      </w:r>
      <w:r>
        <w:rPr>
          <w:rFonts w:hint="eastAsia" w:ascii="宋体" w:hAnsi="宋体" w:eastAsia="宋体" w:cs="宋体"/>
          <w:bCs/>
          <w:color w:val="auto"/>
          <w:sz w:val="24"/>
          <w:szCs w:val="24"/>
          <w:highlight w:val="none"/>
        </w:rPr>
        <w:t>、厦门招投标网（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466B0542">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14:paraId="761E240E">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33B8EAA2">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629665C4">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2"/>
        <w:tblW w:w="98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26"/>
        <w:gridCol w:w="1497"/>
        <w:gridCol w:w="1239"/>
        <w:gridCol w:w="3436"/>
        <w:gridCol w:w="2804"/>
      </w:tblGrid>
      <w:tr w14:paraId="79CA6D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826" w:type="dxa"/>
            <w:noWrap w:val="0"/>
            <w:vAlign w:val="center"/>
          </w:tcPr>
          <w:p w14:paraId="3D34447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97" w:type="dxa"/>
            <w:noWrap w:val="0"/>
            <w:vAlign w:val="center"/>
          </w:tcPr>
          <w:p w14:paraId="5306BBF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31E6940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436" w:type="dxa"/>
            <w:noWrap w:val="0"/>
            <w:vAlign w:val="center"/>
          </w:tcPr>
          <w:p w14:paraId="5C2B2B7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804" w:type="dxa"/>
            <w:noWrap w:val="0"/>
            <w:vAlign w:val="center"/>
          </w:tcPr>
          <w:p w14:paraId="5F5CED3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003F5B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26" w:type="dxa"/>
            <w:noWrap w:val="0"/>
            <w:vAlign w:val="center"/>
          </w:tcPr>
          <w:p w14:paraId="3643B0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97" w:type="dxa"/>
            <w:noWrap w:val="0"/>
            <w:vAlign w:val="center"/>
          </w:tcPr>
          <w:p w14:paraId="1DB1CBF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项目经办</w:t>
            </w:r>
          </w:p>
        </w:tc>
        <w:tc>
          <w:tcPr>
            <w:tcW w:w="1239" w:type="dxa"/>
            <w:noWrap w:val="0"/>
            <w:vAlign w:val="center"/>
          </w:tcPr>
          <w:p w14:paraId="2BF1AEA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卢扬华、熊睿晨</w:t>
            </w:r>
          </w:p>
        </w:tc>
        <w:tc>
          <w:tcPr>
            <w:tcW w:w="3436" w:type="dxa"/>
            <w:noWrap w:val="0"/>
            <w:vAlign w:val="center"/>
          </w:tcPr>
          <w:p w14:paraId="16554FBC">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负责招标文件的咨询、答疑等工作</w:t>
            </w:r>
          </w:p>
        </w:tc>
        <w:tc>
          <w:tcPr>
            <w:tcW w:w="2804" w:type="dxa"/>
            <w:noWrap w:val="0"/>
            <w:vAlign w:val="center"/>
          </w:tcPr>
          <w:p w14:paraId="07DF6589">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0592-5701518、5769394</w:t>
            </w:r>
          </w:p>
          <w:p w14:paraId="46F5E1B1">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tc>
      </w:tr>
      <w:tr w14:paraId="153A69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26" w:type="dxa"/>
            <w:noWrap w:val="0"/>
            <w:vAlign w:val="center"/>
          </w:tcPr>
          <w:p w14:paraId="4B6D57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97" w:type="dxa"/>
            <w:noWrap w:val="0"/>
            <w:vAlign w:val="center"/>
          </w:tcPr>
          <w:p w14:paraId="45E870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3C4846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436" w:type="dxa"/>
            <w:noWrap w:val="0"/>
            <w:vAlign w:val="center"/>
          </w:tcPr>
          <w:p w14:paraId="04150CD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804" w:type="dxa"/>
            <w:noWrap w:val="0"/>
            <w:vAlign w:val="center"/>
          </w:tcPr>
          <w:p w14:paraId="622418AC">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2B6074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26" w:type="dxa"/>
            <w:noWrap w:val="0"/>
            <w:vAlign w:val="center"/>
          </w:tcPr>
          <w:p w14:paraId="53F3D2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3</w:t>
            </w:r>
          </w:p>
        </w:tc>
        <w:tc>
          <w:tcPr>
            <w:tcW w:w="1497" w:type="dxa"/>
            <w:noWrap w:val="0"/>
            <w:vAlign w:val="center"/>
          </w:tcPr>
          <w:p w14:paraId="69EE3E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6C5EF3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436" w:type="dxa"/>
            <w:noWrap w:val="0"/>
            <w:vAlign w:val="center"/>
          </w:tcPr>
          <w:p w14:paraId="1E81E0C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804" w:type="dxa"/>
            <w:noWrap w:val="0"/>
            <w:vAlign w:val="center"/>
          </w:tcPr>
          <w:p w14:paraId="780F0D99">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7A9580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26" w:type="dxa"/>
            <w:noWrap w:val="0"/>
            <w:vAlign w:val="center"/>
          </w:tcPr>
          <w:p w14:paraId="498F46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97" w:type="dxa"/>
            <w:noWrap w:val="0"/>
            <w:vAlign w:val="center"/>
          </w:tcPr>
          <w:p w14:paraId="670A5D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779610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436" w:type="dxa"/>
            <w:noWrap w:val="0"/>
            <w:vAlign w:val="center"/>
          </w:tcPr>
          <w:p w14:paraId="081E3AB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804" w:type="dxa"/>
            <w:noWrap w:val="0"/>
            <w:vAlign w:val="center"/>
          </w:tcPr>
          <w:p w14:paraId="72566EF8">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77CD6B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26" w:type="dxa"/>
            <w:noWrap w:val="0"/>
            <w:vAlign w:val="center"/>
          </w:tcPr>
          <w:p w14:paraId="3403B7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97" w:type="dxa"/>
            <w:noWrap w:val="0"/>
            <w:vAlign w:val="center"/>
          </w:tcPr>
          <w:p w14:paraId="75213C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51BCD96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436" w:type="dxa"/>
            <w:noWrap w:val="0"/>
            <w:vAlign w:val="center"/>
          </w:tcPr>
          <w:p w14:paraId="7900DE66">
            <w:pPr>
              <w:keepNext w:val="0"/>
              <w:keepLines w:val="0"/>
              <w:suppressLineNumbers w:val="0"/>
              <w:spacing w:before="0" w:beforeAutospacing="0" w:after="0" w:afterAutospacing="0" w:line="360" w:lineRule="auto"/>
              <w:ind w:left="0" w:right="0"/>
              <w:rPr>
                <w:rFonts w:hint="default"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804" w:type="dxa"/>
            <w:noWrap w:val="0"/>
            <w:vAlign w:val="center"/>
          </w:tcPr>
          <w:p w14:paraId="02830703">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34013DDA">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139E2D48">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7BA09AD2">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30928ABE">
      <w:pPr>
        <w:tabs>
          <w:tab w:val="left" w:pos="1140"/>
        </w:tabs>
        <w:spacing w:line="360" w:lineRule="auto"/>
        <w:ind w:firstLine="480" w:firstLineChars="200"/>
        <w:rPr>
          <w:rFonts w:hint="eastAsia" w:ascii="宋体" w:hAnsi="宋体" w:eastAsia="宋体" w:cs="宋体"/>
          <w:color w:val="auto"/>
          <w:sz w:val="24"/>
          <w:szCs w:val="24"/>
          <w:highlight w:val="none"/>
        </w:rPr>
      </w:pPr>
    </w:p>
    <w:p w14:paraId="78601D56">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3774"/>
      </w:tblGrid>
      <w:tr w14:paraId="2E85A1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6D733A9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471F49C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3774" w:type="dxa"/>
            <w:noWrap w:val="0"/>
            <w:vAlign w:val="center"/>
          </w:tcPr>
          <w:p w14:paraId="3C784CE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542D42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423B09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55B482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w:t>
            </w:r>
          </w:p>
        </w:tc>
        <w:tc>
          <w:tcPr>
            <w:tcW w:w="3774" w:type="dxa"/>
            <w:noWrap w:val="0"/>
            <w:vAlign w:val="center"/>
          </w:tcPr>
          <w:p w14:paraId="462956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7AC552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4F7D71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7C3316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w:t>
            </w:r>
          </w:p>
        </w:tc>
        <w:tc>
          <w:tcPr>
            <w:tcW w:w="3774" w:type="dxa"/>
            <w:noWrap w:val="0"/>
            <w:vAlign w:val="center"/>
          </w:tcPr>
          <w:p w14:paraId="40537B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2C9828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54056B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014" w:type="dxa"/>
            <w:gridSpan w:val="2"/>
            <w:noWrap w:val="0"/>
            <w:vAlign w:val="center"/>
          </w:tcPr>
          <w:p w14:paraId="3F0EC6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1D13BDF7">
      <w:pPr>
        <w:tabs>
          <w:tab w:val="left" w:pos="1140"/>
        </w:tabs>
        <w:spacing w:line="360" w:lineRule="auto"/>
        <w:ind w:firstLine="560"/>
        <w:rPr>
          <w:rFonts w:hint="eastAsia" w:ascii="宋体" w:hAnsi="宋体" w:eastAsia="宋体" w:cs="宋体"/>
          <w:color w:val="auto"/>
          <w:sz w:val="24"/>
          <w:szCs w:val="24"/>
          <w:highlight w:val="none"/>
        </w:rPr>
      </w:pPr>
    </w:p>
    <w:p w14:paraId="36B553F2">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194AD5D1">
      <w:pPr>
        <w:numPr>
          <w:ilvl w:val="0"/>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14、注意事项：</w:t>
      </w:r>
    </w:p>
    <w:p w14:paraId="56061C4C">
      <w:pPr>
        <w:keepNext w:val="0"/>
        <w:keepLines w:val="0"/>
        <w:pageBreakBefore w:val="0"/>
        <w:widowControl/>
        <w:numPr>
          <w:ilvl w:val="0"/>
          <w:numId w:val="0"/>
        </w:numPr>
        <w:tabs>
          <w:tab w:val="left" w:pos="-1080"/>
          <w:tab w:val="left" w:pos="180"/>
          <w:tab w:val="left" w:pos="10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项目中标供应商服务费发票将以邮件方式发送至购标指定邮箱。</w:t>
      </w:r>
    </w:p>
    <w:p w14:paraId="0324E72F">
      <w:pPr>
        <w:spacing w:line="360" w:lineRule="auto"/>
        <w:ind w:firstLine="360"/>
        <w:rPr>
          <w:rFonts w:hint="eastAsia" w:ascii="宋体" w:hAnsi="宋体" w:eastAsia="宋体" w:cs="宋体"/>
          <w:color w:val="auto"/>
          <w:sz w:val="24"/>
          <w:szCs w:val="24"/>
          <w:highlight w:val="none"/>
        </w:rPr>
      </w:pPr>
    </w:p>
    <w:p w14:paraId="2426DD4F">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4DED5E68">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34D4DF77">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 361006</w:t>
      </w:r>
    </w:p>
    <w:p w14:paraId="36CE0A05">
      <w:pPr>
        <w:spacing w:line="360" w:lineRule="auto"/>
        <w:ind w:firstLine="482" w:firstLineChars="200"/>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合同款项事宜联系人：</w:t>
      </w:r>
      <w:r>
        <w:rPr>
          <w:rFonts w:hint="eastAsia" w:ascii="宋体" w:hAnsi="宋体" w:cs="宋体"/>
          <w:b/>
          <w:bCs/>
          <w:color w:val="auto"/>
          <w:kern w:val="0"/>
          <w:sz w:val="24"/>
          <w:szCs w:val="24"/>
          <w:highlight w:val="none"/>
        </w:rPr>
        <w:t>陈工</w:t>
      </w:r>
      <w:r>
        <w:rPr>
          <w:rFonts w:hint="eastAsia" w:ascii="宋体" w:hAnsi="宋体" w:cs="宋体"/>
          <w:b/>
          <w:bCs/>
          <w:color w:val="auto"/>
          <w:kern w:val="0"/>
          <w:sz w:val="24"/>
          <w:szCs w:val="24"/>
          <w:highlight w:val="none"/>
          <w:lang w:eastAsia="zh-CN"/>
        </w:rPr>
        <w:t>，</w:t>
      </w:r>
      <w:r>
        <w:rPr>
          <w:rFonts w:ascii="宋体" w:hAnsi="宋体" w:cs="宋体"/>
          <w:b/>
          <w:bCs/>
          <w:color w:val="auto"/>
          <w:kern w:val="0"/>
          <w:sz w:val="24"/>
          <w:szCs w:val="24"/>
          <w:highlight w:val="none"/>
        </w:rPr>
        <w:t>0592</w:t>
      </w:r>
      <w:r>
        <w:rPr>
          <w:rFonts w:hint="eastAsia" w:ascii="宋体" w:hAnsi="宋体" w:cs="宋体"/>
          <w:b/>
          <w:bCs/>
          <w:color w:val="auto"/>
          <w:kern w:val="0"/>
          <w:sz w:val="24"/>
          <w:szCs w:val="24"/>
          <w:highlight w:val="none"/>
        </w:rPr>
        <w:t>-</w:t>
      </w:r>
      <w:r>
        <w:rPr>
          <w:rFonts w:ascii="宋体" w:hAnsi="宋体" w:cs="宋体"/>
          <w:b/>
          <w:bCs/>
          <w:color w:val="auto"/>
          <w:kern w:val="0"/>
          <w:sz w:val="24"/>
          <w:szCs w:val="24"/>
          <w:highlight w:val="none"/>
        </w:rPr>
        <w:t>5706825</w:t>
      </w:r>
    </w:p>
    <w:p w14:paraId="0905D67F">
      <w:pPr>
        <w:pStyle w:val="10"/>
        <w:rPr>
          <w:rFonts w:hint="eastAsia"/>
          <w:color w:val="auto"/>
          <w:highlight w:val="none"/>
        </w:rPr>
      </w:pPr>
    </w:p>
    <w:p w14:paraId="09713970">
      <w:pPr>
        <w:pStyle w:val="10"/>
        <w:rPr>
          <w:rFonts w:hint="eastAsia"/>
          <w:color w:val="auto"/>
          <w:highlight w:val="none"/>
        </w:rPr>
      </w:pPr>
    </w:p>
    <w:p w14:paraId="17C3B22F">
      <w:pPr>
        <w:tabs>
          <w:tab w:val="left" w:pos="2775"/>
        </w:tabs>
        <w:spacing w:line="360" w:lineRule="auto"/>
        <w:ind w:firstLine="465"/>
        <w:rPr>
          <w:rFonts w:hint="eastAsia" w:ascii="宋体" w:hAnsi="宋体" w:eastAsia="宋体" w:cs="宋体"/>
          <w:color w:val="auto"/>
          <w:sz w:val="24"/>
          <w:szCs w:val="24"/>
          <w:highlight w:val="none"/>
        </w:rPr>
      </w:pPr>
    </w:p>
    <w:p w14:paraId="085A0E1C">
      <w:pPr>
        <w:tabs>
          <w:tab w:val="left" w:pos="2775"/>
        </w:tabs>
        <w:spacing w:line="360" w:lineRule="auto"/>
        <w:ind w:firstLine="465"/>
        <w:rPr>
          <w:rFonts w:hint="eastAsia" w:ascii="宋体" w:hAnsi="宋体" w:eastAsia="宋体" w:cs="宋体"/>
          <w:color w:val="auto"/>
          <w:sz w:val="24"/>
          <w:szCs w:val="24"/>
          <w:highlight w:val="none"/>
        </w:rPr>
      </w:pPr>
    </w:p>
    <w:p w14:paraId="7AF6C024">
      <w:pPr>
        <w:tabs>
          <w:tab w:val="left" w:pos="2775"/>
        </w:tabs>
        <w:spacing w:line="360" w:lineRule="auto"/>
        <w:ind w:firstLine="465"/>
        <w:rPr>
          <w:rFonts w:hint="eastAsia" w:ascii="宋体" w:hAnsi="宋体" w:eastAsia="宋体" w:cs="宋体"/>
          <w:color w:val="auto"/>
          <w:sz w:val="24"/>
          <w:szCs w:val="24"/>
          <w:highlight w:val="none"/>
        </w:rPr>
      </w:pPr>
    </w:p>
    <w:p w14:paraId="79DB5C6A">
      <w:pPr>
        <w:tabs>
          <w:tab w:val="left" w:pos="2775"/>
        </w:tabs>
        <w:spacing w:line="360" w:lineRule="auto"/>
        <w:ind w:firstLine="465"/>
        <w:rPr>
          <w:rFonts w:hint="eastAsia" w:ascii="宋体" w:hAnsi="宋体" w:eastAsia="宋体" w:cs="宋体"/>
          <w:color w:val="auto"/>
          <w:sz w:val="24"/>
          <w:szCs w:val="24"/>
          <w:highlight w:val="none"/>
        </w:rPr>
      </w:pPr>
    </w:p>
    <w:p w14:paraId="03C97444">
      <w:pPr>
        <w:tabs>
          <w:tab w:val="left" w:pos="2775"/>
        </w:tabs>
        <w:spacing w:line="360" w:lineRule="auto"/>
        <w:ind w:firstLine="465"/>
        <w:rPr>
          <w:rFonts w:hint="eastAsia" w:ascii="宋体" w:hAnsi="宋体" w:eastAsia="宋体" w:cs="宋体"/>
          <w:color w:val="auto"/>
          <w:sz w:val="24"/>
          <w:szCs w:val="24"/>
          <w:highlight w:val="none"/>
        </w:rPr>
      </w:pPr>
    </w:p>
    <w:p w14:paraId="7226385A">
      <w:pPr>
        <w:tabs>
          <w:tab w:val="left" w:pos="2775"/>
        </w:tabs>
        <w:spacing w:line="360" w:lineRule="auto"/>
        <w:ind w:firstLine="465"/>
        <w:rPr>
          <w:rFonts w:hint="eastAsia" w:ascii="宋体" w:hAnsi="宋体" w:eastAsia="宋体" w:cs="宋体"/>
          <w:color w:val="auto"/>
          <w:sz w:val="24"/>
          <w:szCs w:val="24"/>
          <w:highlight w:val="none"/>
        </w:rPr>
      </w:pPr>
    </w:p>
    <w:p w14:paraId="592097F6">
      <w:pPr>
        <w:tabs>
          <w:tab w:val="left" w:pos="2775"/>
        </w:tabs>
        <w:spacing w:line="360" w:lineRule="auto"/>
        <w:ind w:firstLine="465"/>
        <w:rPr>
          <w:rFonts w:hint="eastAsia" w:ascii="宋体" w:hAnsi="宋体" w:eastAsia="宋体" w:cs="宋体"/>
          <w:color w:val="auto"/>
          <w:sz w:val="24"/>
          <w:szCs w:val="24"/>
          <w:highlight w:val="none"/>
        </w:rPr>
      </w:pPr>
    </w:p>
    <w:p w14:paraId="7C036F1E">
      <w:pPr>
        <w:tabs>
          <w:tab w:val="left" w:pos="2775"/>
        </w:tabs>
        <w:spacing w:line="360" w:lineRule="auto"/>
        <w:ind w:firstLine="465"/>
        <w:rPr>
          <w:rFonts w:hint="eastAsia" w:ascii="宋体" w:hAnsi="宋体" w:eastAsia="宋体" w:cs="宋体"/>
          <w:color w:val="auto"/>
          <w:sz w:val="24"/>
          <w:szCs w:val="24"/>
          <w:highlight w:val="none"/>
        </w:rPr>
      </w:pPr>
    </w:p>
    <w:p w14:paraId="64F95B85">
      <w:pPr>
        <w:tabs>
          <w:tab w:val="left" w:pos="2775"/>
        </w:tabs>
        <w:spacing w:line="360" w:lineRule="auto"/>
        <w:ind w:firstLine="465"/>
        <w:rPr>
          <w:rFonts w:hint="eastAsia" w:ascii="宋体" w:hAnsi="宋体" w:eastAsia="宋体" w:cs="宋体"/>
          <w:color w:val="auto"/>
          <w:sz w:val="24"/>
          <w:szCs w:val="24"/>
          <w:highlight w:val="none"/>
        </w:rPr>
      </w:pPr>
    </w:p>
    <w:p w14:paraId="0A30D5C4">
      <w:pPr>
        <w:tabs>
          <w:tab w:val="left" w:pos="2775"/>
        </w:tabs>
        <w:spacing w:line="360" w:lineRule="auto"/>
        <w:ind w:firstLine="465"/>
        <w:rPr>
          <w:rFonts w:hint="eastAsia" w:ascii="宋体" w:hAnsi="宋体" w:eastAsia="宋体" w:cs="宋体"/>
          <w:color w:val="auto"/>
          <w:sz w:val="24"/>
          <w:szCs w:val="24"/>
          <w:highlight w:val="none"/>
        </w:rPr>
      </w:pPr>
    </w:p>
    <w:p w14:paraId="2140CD5D">
      <w:pPr>
        <w:tabs>
          <w:tab w:val="left" w:pos="2775"/>
        </w:tabs>
        <w:spacing w:line="360" w:lineRule="auto"/>
        <w:ind w:firstLine="465"/>
        <w:rPr>
          <w:rFonts w:hint="eastAsia" w:ascii="宋体" w:hAnsi="宋体" w:eastAsia="宋体" w:cs="宋体"/>
          <w:color w:val="auto"/>
          <w:sz w:val="24"/>
          <w:szCs w:val="24"/>
          <w:highlight w:val="none"/>
        </w:rPr>
      </w:pPr>
    </w:p>
    <w:p w14:paraId="41813A34">
      <w:pPr>
        <w:spacing w:line="360" w:lineRule="auto"/>
        <w:rPr>
          <w:rFonts w:hint="eastAsia" w:ascii="宋体" w:hAnsi="宋体" w:eastAsia="宋体" w:cs="宋体"/>
          <w:color w:val="auto"/>
          <w:sz w:val="32"/>
          <w:szCs w:val="32"/>
          <w:highlight w:val="none"/>
        </w:rPr>
      </w:pPr>
    </w:p>
    <w:p w14:paraId="4F5B587F">
      <w:pPr>
        <w:spacing w:line="360" w:lineRule="auto"/>
        <w:rPr>
          <w:rFonts w:hint="eastAsia" w:ascii="宋体" w:hAnsi="宋体" w:eastAsia="宋体" w:cs="宋体"/>
          <w:color w:val="auto"/>
          <w:sz w:val="32"/>
          <w:szCs w:val="32"/>
          <w:highlight w:val="none"/>
        </w:rPr>
      </w:pPr>
    </w:p>
    <w:p w14:paraId="344BBCF2">
      <w:pPr>
        <w:spacing w:line="360" w:lineRule="auto"/>
        <w:rPr>
          <w:rFonts w:hint="eastAsia" w:ascii="宋体" w:hAnsi="宋体" w:eastAsia="宋体" w:cs="宋体"/>
          <w:color w:val="auto"/>
          <w:sz w:val="32"/>
          <w:szCs w:val="32"/>
          <w:highlight w:val="none"/>
        </w:rPr>
      </w:pPr>
    </w:p>
    <w:p w14:paraId="53763EC8">
      <w:pPr>
        <w:spacing w:line="360" w:lineRule="auto"/>
        <w:rPr>
          <w:rFonts w:hint="eastAsia" w:ascii="宋体" w:hAnsi="宋体" w:eastAsia="宋体" w:cs="宋体"/>
          <w:color w:val="auto"/>
          <w:sz w:val="32"/>
          <w:szCs w:val="32"/>
          <w:highlight w:val="none"/>
        </w:rPr>
      </w:pPr>
    </w:p>
    <w:p w14:paraId="72E17202">
      <w:pPr>
        <w:spacing w:line="24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14:paraId="797203F3">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2EBA51A1">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2"/>
        <w:tblW w:w="94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5"/>
        <w:gridCol w:w="952"/>
        <w:gridCol w:w="1546"/>
        <w:gridCol w:w="864"/>
        <w:gridCol w:w="1705"/>
        <w:gridCol w:w="1463"/>
        <w:gridCol w:w="1719"/>
      </w:tblGrid>
      <w:tr w14:paraId="193E8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175" w:type="dxa"/>
            <w:tcBorders>
              <w:top w:val="single" w:color="auto" w:sz="4" w:space="0"/>
              <w:left w:val="single" w:color="auto" w:sz="4" w:space="0"/>
              <w:bottom w:val="single" w:color="auto" w:sz="4" w:space="0"/>
              <w:right w:val="single" w:color="auto" w:sz="4" w:space="0"/>
            </w:tcBorders>
            <w:noWrap w:val="0"/>
            <w:vAlign w:val="center"/>
          </w:tcPr>
          <w:p w14:paraId="4BEE248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F8BFADD">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546" w:type="dxa"/>
            <w:tcBorders>
              <w:top w:val="single" w:color="auto" w:sz="4" w:space="0"/>
              <w:left w:val="single" w:color="auto" w:sz="4" w:space="0"/>
              <w:bottom w:val="single" w:color="auto" w:sz="4" w:space="0"/>
              <w:right w:val="single" w:color="auto" w:sz="4" w:space="0"/>
            </w:tcBorders>
            <w:noWrap w:val="0"/>
            <w:vAlign w:val="center"/>
          </w:tcPr>
          <w:p w14:paraId="298AD780">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864" w:type="dxa"/>
            <w:tcBorders>
              <w:top w:val="single" w:color="auto" w:sz="4" w:space="0"/>
              <w:left w:val="single" w:color="auto" w:sz="4" w:space="0"/>
              <w:bottom w:val="single" w:color="auto" w:sz="4" w:space="0"/>
              <w:right w:val="single" w:color="auto" w:sz="4" w:space="0"/>
            </w:tcBorders>
            <w:noWrap w:val="0"/>
            <w:vAlign w:val="center"/>
          </w:tcPr>
          <w:p w14:paraId="0E48F4D5">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705" w:type="dxa"/>
            <w:tcBorders>
              <w:top w:val="single" w:color="auto" w:sz="4" w:space="0"/>
              <w:left w:val="single" w:color="auto" w:sz="4" w:space="0"/>
              <w:bottom w:val="single" w:color="auto" w:sz="4" w:space="0"/>
              <w:right w:val="single" w:color="auto" w:sz="4" w:space="0"/>
            </w:tcBorders>
            <w:noWrap w:val="0"/>
            <w:vAlign w:val="center"/>
          </w:tcPr>
          <w:p w14:paraId="7E0EFCE9">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463" w:type="dxa"/>
            <w:tcBorders>
              <w:top w:val="single" w:color="auto" w:sz="4" w:space="0"/>
              <w:left w:val="single" w:color="auto" w:sz="4" w:space="0"/>
              <w:bottom w:val="single" w:color="auto" w:sz="4" w:space="0"/>
              <w:right w:val="single" w:color="auto" w:sz="4" w:space="0"/>
            </w:tcBorders>
            <w:noWrap w:val="0"/>
            <w:vAlign w:val="center"/>
          </w:tcPr>
          <w:p w14:paraId="5E6F1DF7">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1719" w:type="dxa"/>
            <w:tcBorders>
              <w:top w:val="single" w:color="auto" w:sz="4" w:space="0"/>
              <w:left w:val="single" w:color="auto" w:sz="4" w:space="0"/>
              <w:bottom w:val="single" w:color="auto" w:sz="4" w:space="0"/>
              <w:right w:val="single" w:color="auto" w:sz="4" w:space="0"/>
            </w:tcBorders>
            <w:noWrap w:val="0"/>
            <w:vAlign w:val="center"/>
          </w:tcPr>
          <w:p w14:paraId="6EF60051">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7EB73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175" w:type="dxa"/>
            <w:tcBorders>
              <w:top w:val="single" w:color="auto" w:sz="4" w:space="0"/>
              <w:left w:val="single" w:color="auto" w:sz="4" w:space="0"/>
              <w:bottom w:val="single" w:color="auto" w:sz="4" w:space="0"/>
              <w:right w:val="single" w:color="auto" w:sz="4" w:space="0"/>
            </w:tcBorders>
            <w:noWrap w:val="0"/>
            <w:vAlign w:val="center"/>
          </w:tcPr>
          <w:p w14:paraId="1B1A704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2025</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0042</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E2236DD">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546" w:type="dxa"/>
            <w:tcBorders>
              <w:top w:val="single" w:color="auto" w:sz="4" w:space="0"/>
              <w:left w:val="single" w:color="auto" w:sz="4" w:space="0"/>
              <w:bottom w:val="single" w:color="auto" w:sz="4" w:space="0"/>
              <w:right w:val="single" w:color="auto" w:sz="4" w:space="0"/>
            </w:tcBorders>
            <w:noWrap w:val="0"/>
            <w:vAlign w:val="center"/>
          </w:tcPr>
          <w:p w14:paraId="0E39D0A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新建学生宿舍家具</w:t>
            </w:r>
          </w:p>
        </w:tc>
        <w:tc>
          <w:tcPr>
            <w:tcW w:w="864" w:type="dxa"/>
            <w:tcBorders>
              <w:top w:val="single" w:color="auto" w:sz="4" w:space="0"/>
              <w:left w:val="single" w:color="auto" w:sz="4" w:space="0"/>
              <w:bottom w:val="single" w:color="auto" w:sz="4" w:space="0"/>
              <w:right w:val="single" w:color="auto" w:sz="4" w:space="0"/>
            </w:tcBorders>
            <w:noWrap w:val="0"/>
            <w:vAlign w:val="center"/>
          </w:tcPr>
          <w:p w14:paraId="37DCE16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1批</w:t>
            </w:r>
          </w:p>
        </w:tc>
        <w:tc>
          <w:tcPr>
            <w:tcW w:w="1705" w:type="dxa"/>
            <w:tcBorders>
              <w:top w:val="single" w:color="auto" w:sz="4" w:space="0"/>
              <w:left w:val="single" w:color="auto" w:sz="4" w:space="0"/>
              <w:bottom w:val="single" w:color="auto" w:sz="4" w:space="0"/>
              <w:right w:val="single" w:color="auto" w:sz="4" w:space="0"/>
            </w:tcBorders>
            <w:noWrap w:val="0"/>
            <w:vAlign w:val="center"/>
          </w:tcPr>
          <w:p w14:paraId="4FBC47C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463" w:type="dxa"/>
            <w:tcBorders>
              <w:top w:val="single" w:color="auto" w:sz="4" w:space="0"/>
              <w:left w:val="single" w:color="auto" w:sz="4" w:space="0"/>
              <w:bottom w:val="single" w:color="auto" w:sz="4" w:space="0"/>
              <w:right w:val="single" w:color="auto" w:sz="4" w:space="0"/>
            </w:tcBorders>
            <w:noWrap w:val="0"/>
            <w:vAlign w:val="center"/>
          </w:tcPr>
          <w:p w14:paraId="6F0DF22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1719" w:type="dxa"/>
            <w:tcBorders>
              <w:top w:val="single" w:color="auto" w:sz="4" w:space="0"/>
              <w:left w:val="single" w:color="auto" w:sz="4" w:space="0"/>
              <w:bottom w:val="single" w:color="auto" w:sz="4" w:space="0"/>
              <w:right w:val="single" w:color="auto" w:sz="4" w:space="0"/>
            </w:tcBorders>
            <w:noWrap w:val="0"/>
            <w:vAlign w:val="center"/>
          </w:tcPr>
          <w:p w14:paraId="33EDBF55">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厦门城市职业学院</w:t>
            </w:r>
          </w:p>
        </w:tc>
      </w:tr>
    </w:tbl>
    <w:p w14:paraId="6AFE8DD1">
      <w:pPr>
        <w:pStyle w:val="5"/>
        <w:tabs>
          <w:tab w:val="left" w:pos="8360"/>
        </w:tabs>
        <w:spacing w:line="360" w:lineRule="auto"/>
        <w:jc w:val="left"/>
        <w:rPr>
          <w:rFonts w:hint="eastAsia" w:hAnsi="宋体" w:eastAsia="宋体" w:cs="宋体"/>
          <w:color w:val="auto"/>
          <w:sz w:val="24"/>
          <w:szCs w:val="24"/>
          <w:highlight w:val="none"/>
        </w:rPr>
      </w:pPr>
    </w:p>
    <w:p w14:paraId="13D81AC4">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5A2D9A8B">
      <w:pPr>
        <w:pStyle w:val="5"/>
        <w:tabs>
          <w:tab w:val="left" w:pos="8360"/>
        </w:tabs>
        <w:spacing w:line="360" w:lineRule="auto"/>
        <w:jc w:val="left"/>
        <w:rPr>
          <w:rFonts w:hint="eastAsia" w:hAnsi="宋体" w:eastAsia="宋体" w:cs="宋体"/>
          <w:color w:val="auto"/>
          <w:sz w:val="24"/>
          <w:szCs w:val="24"/>
          <w:highlight w:val="none"/>
        </w:rPr>
      </w:pPr>
    </w:p>
    <w:p w14:paraId="6C5688A1">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7FADE106">
      <w:pPr>
        <w:pStyle w:val="17"/>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4FDEE76B">
      <w:pPr>
        <w:pStyle w:val="17"/>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6386D471">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10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8276"/>
      </w:tblGrid>
      <w:tr w14:paraId="11973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0A4DE1E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5DE9E03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8276" w:type="dxa"/>
            <w:noWrap w:val="0"/>
            <w:vAlign w:val="top"/>
          </w:tcPr>
          <w:p w14:paraId="270FC1F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3A5A1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7C3DC41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47899BA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8276" w:type="dxa"/>
            <w:noWrap w:val="0"/>
            <w:vAlign w:val="center"/>
          </w:tcPr>
          <w:p w14:paraId="5E7F1BF7">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项目名称：</w:t>
            </w:r>
            <w:r>
              <w:rPr>
                <w:rFonts w:hint="eastAsia" w:ascii="宋体" w:hAnsi="宋体" w:eastAsia="宋体" w:cs="宋体"/>
                <w:b w:val="0"/>
                <w:bCs w:val="0"/>
                <w:color w:val="auto"/>
                <w:sz w:val="24"/>
                <w:szCs w:val="24"/>
                <w:highlight w:val="none"/>
                <w:u w:val="none"/>
              </w:rPr>
              <w:t>新建学生宿舍家具</w:t>
            </w:r>
          </w:p>
          <w:p w14:paraId="07EEB5E1">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u w:val="none"/>
              </w:rPr>
            </w:pPr>
            <w:r>
              <w:rPr>
                <w:rFonts w:hint="eastAsia" w:ascii="宋体" w:hAnsi="宋体" w:cs="宋体"/>
                <w:color w:val="auto"/>
                <w:sz w:val="24"/>
                <w:szCs w:val="24"/>
                <w:highlight w:val="none"/>
                <w:u w:val="none"/>
              </w:rPr>
              <w:t>采购单位名称：厦门万翔网络商务有限公司</w:t>
            </w:r>
          </w:p>
          <w:p w14:paraId="7A79689C">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none"/>
              </w:rPr>
            </w:pPr>
            <w:r>
              <w:rPr>
                <w:rFonts w:hint="eastAsia" w:ascii="宋体" w:hAnsi="宋体" w:cs="宋体"/>
                <w:color w:val="auto"/>
                <w:sz w:val="24"/>
                <w:szCs w:val="24"/>
                <w:highlight w:val="none"/>
                <w:u w:val="none"/>
              </w:rPr>
              <w:t>采购单位地址：厦门市湖里区</w:t>
            </w:r>
            <w:bookmarkStart w:id="6" w:name="_GoBack"/>
            <w:bookmarkEnd w:id="6"/>
            <w:r>
              <w:rPr>
                <w:rFonts w:hint="eastAsia" w:ascii="宋体" w:hAnsi="宋体" w:cs="宋体"/>
                <w:color w:val="auto"/>
                <w:sz w:val="24"/>
                <w:szCs w:val="24"/>
                <w:highlight w:val="none"/>
                <w:u w:val="none"/>
              </w:rPr>
              <w:t>机场北路476号五楼</w:t>
            </w:r>
          </w:p>
          <w:p w14:paraId="7069917D">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项目内容：</w:t>
            </w:r>
            <w:r>
              <w:rPr>
                <w:rFonts w:hint="eastAsia" w:ascii="宋体" w:hAnsi="宋体" w:eastAsia="宋体" w:cs="宋体"/>
                <w:b w:val="0"/>
                <w:bCs w:val="0"/>
                <w:color w:val="auto"/>
                <w:sz w:val="24"/>
                <w:szCs w:val="24"/>
                <w:highlight w:val="none"/>
                <w:u w:val="none"/>
              </w:rPr>
              <w:t>新建学生宿舍家具</w:t>
            </w:r>
            <w:r>
              <w:rPr>
                <w:rFonts w:hint="eastAsia" w:ascii="宋体" w:hAnsi="宋体" w:eastAsia="宋体" w:cs="宋体"/>
                <w:color w:val="auto"/>
                <w:sz w:val="24"/>
                <w:szCs w:val="24"/>
                <w:highlight w:val="none"/>
                <w:u w:val="none"/>
              </w:rPr>
              <w:t xml:space="preserve"> </w:t>
            </w:r>
          </w:p>
          <w:p w14:paraId="37B04ED7">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rPr>
              <w:t>项目编号：XM</w:t>
            </w:r>
            <w:r>
              <w:rPr>
                <w:rFonts w:hint="eastAsia" w:ascii="宋体" w:hAnsi="宋体" w:cs="宋体"/>
                <w:color w:val="auto"/>
                <w:sz w:val="24"/>
                <w:szCs w:val="24"/>
                <w:highlight w:val="none"/>
                <w:u w:val="none"/>
                <w:lang w:eastAsia="zh-CN"/>
              </w:rPr>
              <w:t>2025</w:t>
            </w:r>
            <w:r>
              <w:rPr>
                <w:rFonts w:hint="eastAsia" w:ascii="宋体" w:hAnsi="宋体" w:eastAsia="宋体" w:cs="宋体"/>
                <w:color w:val="auto"/>
                <w:sz w:val="24"/>
                <w:szCs w:val="24"/>
                <w:highlight w:val="none"/>
                <w:u w:val="none"/>
              </w:rPr>
              <w:t>-</w:t>
            </w:r>
            <w:r>
              <w:rPr>
                <w:rFonts w:hint="eastAsia" w:ascii="宋体" w:hAnsi="宋体" w:cs="宋体"/>
                <w:color w:val="auto"/>
                <w:sz w:val="24"/>
                <w:szCs w:val="24"/>
                <w:highlight w:val="none"/>
                <w:u w:val="none"/>
                <w:lang w:eastAsia="zh-CN"/>
              </w:rPr>
              <w:t>DZ0042</w:t>
            </w:r>
          </w:p>
        </w:tc>
      </w:tr>
      <w:tr w14:paraId="3CA11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1AA01B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5DB895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8276" w:type="dxa"/>
            <w:noWrap w:val="0"/>
            <w:vAlign w:val="center"/>
          </w:tcPr>
          <w:p w14:paraId="1A2CC89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7480584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0E80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094B4A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2DEEC6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8276" w:type="dxa"/>
            <w:noWrap w:val="0"/>
            <w:vAlign w:val="center"/>
          </w:tcPr>
          <w:p w14:paraId="495B485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个日历日。</w:t>
            </w:r>
          </w:p>
          <w:p w14:paraId="58DE0B3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74BBD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25CB22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78E12E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276" w:type="dxa"/>
            <w:noWrap w:val="0"/>
            <w:vAlign w:val="center"/>
          </w:tcPr>
          <w:p w14:paraId="6DCEA157">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eastAsia="zh-CN"/>
              </w:rPr>
              <w:t>开标室3(C401)</w:t>
            </w:r>
          </w:p>
          <w:p w14:paraId="691715F7">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接收人：卢</w:t>
            </w:r>
            <w:r>
              <w:rPr>
                <w:rFonts w:hint="eastAsia" w:ascii="宋体" w:hAnsi="宋体" w:eastAsia="宋体" w:cs="宋体"/>
                <w:color w:val="auto"/>
                <w:kern w:val="0"/>
                <w:sz w:val="24"/>
                <w:szCs w:val="24"/>
                <w:highlight w:val="none"/>
                <w:lang w:val="en-US" w:eastAsia="zh-CN"/>
              </w:rPr>
              <w:t>小姐</w:t>
            </w:r>
            <w:r>
              <w:rPr>
                <w:rFonts w:hint="eastAsia" w:ascii="宋体" w:hAnsi="宋体" w:eastAsia="宋体" w:cs="宋体"/>
                <w:color w:val="auto"/>
                <w:kern w:val="0"/>
                <w:sz w:val="24"/>
                <w:szCs w:val="24"/>
                <w:highlight w:val="none"/>
              </w:rPr>
              <w:t>、熊</w:t>
            </w:r>
            <w:r>
              <w:rPr>
                <w:rFonts w:hint="eastAsia" w:ascii="宋体" w:hAnsi="宋体" w:eastAsia="宋体" w:cs="宋体"/>
                <w:color w:val="auto"/>
                <w:kern w:val="0"/>
                <w:sz w:val="24"/>
                <w:szCs w:val="24"/>
                <w:highlight w:val="none"/>
                <w:lang w:val="en-US" w:eastAsia="zh-CN"/>
              </w:rPr>
              <w:t>小姐</w:t>
            </w:r>
          </w:p>
        </w:tc>
      </w:tr>
      <w:tr w14:paraId="2F73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01731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7FFACD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8276" w:type="dxa"/>
            <w:noWrap w:val="0"/>
            <w:vAlign w:val="center"/>
          </w:tcPr>
          <w:p w14:paraId="1F666C75">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7DFBD07F">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189836A9">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31D16801">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③经评审，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所有采购标的均为中小企业（含个体工商户）制造的货物，或者监狱企业提供本单位制造的货物；或者残疾人福利性单位提供本单位制造的货物（或提供其他残疾人福利性单位制造的货物），投标保证金</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交纳投标保证金的投标人应按照招标文件格式要求在投标文件中提供《中小企业声明函》。</w:t>
            </w:r>
          </w:p>
          <w:p w14:paraId="33B32E30">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007B43A5">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22CB43C7">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6F37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698F58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537030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8276" w:type="dxa"/>
            <w:noWrap w:val="0"/>
            <w:vAlign w:val="center"/>
          </w:tcPr>
          <w:p w14:paraId="3A345F2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r>
              <w:rPr>
                <w:rFonts w:hint="eastAsia" w:ascii="宋体" w:hAnsi="宋体" w:eastAsia="宋体" w:cs="宋体"/>
                <w:b w:val="0"/>
                <w:color w:val="auto"/>
                <w:sz w:val="24"/>
                <w:szCs w:val="24"/>
                <w:highlight w:val="none"/>
                <w:u w:val="none"/>
                <w:lang w:val="en-US" w:eastAsia="zh-CN"/>
              </w:rPr>
              <w:t>投标人</w:t>
            </w:r>
            <w:r>
              <w:rPr>
                <w:rFonts w:hint="eastAsia" w:ascii="宋体" w:hAnsi="宋体" w:eastAsia="宋体" w:cs="宋体"/>
                <w:b w:val="0"/>
                <w:bCs w:val="0"/>
                <w:color w:val="auto"/>
                <w:sz w:val="24"/>
                <w:szCs w:val="24"/>
                <w:highlight w:val="none"/>
                <w:lang w:val="en-US" w:eastAsia="zh-CN"/>
              </w:rPr>
              <w:t>须提供最终盖章签字投标文件扫描件刻录u盘（或光盘）2份。</w:t>
            </w:r>
          </w:p>
        </w:tc>
      </w:tr>
      <w:tr w14:paraId="5FF5D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0AA8872E">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14:paraId="2EF876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8276" w:type="dxa"/>
            <w:noWrap w:val="0"/>
            <w:vAlign w:val="center"/>
          </w:tcPr>
          <w:p w14:paraId="5264F7B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5BAC580D">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63A1D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11007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14:paraId="1053F033">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8276" w:type="dxa"/>
            <w:noWrap w:val="0"/>
            <w:vAlign w:val="center"/>
          </w:tcPr>
          <w:p w14:paraId="17D8208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42C7AA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734CC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F1F809D">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2DE4E19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08859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480FCA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6FB0EBD1">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1210A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444AD0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21D80CB9">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68947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AD7AB8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1E0BC20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20AA8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C0E2A09">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3E213105">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72C70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3DAA66E">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4F10F28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33194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3B0683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135863CD">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43D0F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1C20E6B">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1F7D178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30B9D96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的收取按差额定率累进法计算,由中标供应商支付。</w:t>
            </w:r>
          </w:p>
          <w:p w14:paraId="1928417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14:paraId="6888902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tc>
      </w:tr>
      <w:tr w14:paraId="4E523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5B8C7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ACC10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276" w:type="dxa"/>
            <w:tcBorders>
              <w:top w:val="single" w:color="auto" w:sz="4" w:space="0"/>
              <w:left w:val="single" w:color="auto" w:sz="4" w:space="0"/>
              <w:bottom w:val="single" w:color="auto" w:sz="4" w:space="0"/>
              <w:right w:val="single" w:color="auto" w:sz="4" w:space="0"/>
            </w:tcBorders>
            <w:noWrap w:val="0"/>
            <w:vAlign w:val="center"/>
          </w:tcPr>
          <w:p w14:paraId="0FC03BE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监督管理部门：厦门市财政局。</w:t>
            </w:r>
          </w:p>
        </w:tc>
      </w:tr>
      <w:tr w14:paraId="12D1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D3E3BA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C73C2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276" w:type="dxa"/>
            <w:tcBorders>
              <w:top w:val="single" w:color="auto" w:sz="4" w:space="0"/>
              <w:left w:val="single" w:color="auto" w:sz="4" w:space="0"/>
              <w:bottom w:val="single" w:color="auto" w:sz="4" w:space="0"/>
              <w:right w:val="single" w:color="auto" w:sz="4" w:space="0"/>
            </w:tcBorders>
            <w:noWrap w:val="0"/>
            <w:vAlign w:val="center"/>
          </w:tcPr>
          <w:p w14:paraId="3E42553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42BA0F87">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57B41E3F">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7C4433C6">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09A5D681">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66C1A015">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6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614"/>
        <w:gridCol w:w="951"/>
        <w:gridCol w:w="7314"/>
      </w:tblGrid>
      <w:tr w14:paraId="1B6B0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9" w:type="dxa"/>
            <w:gridSpan w:val="4"/>
            <w:noWrap w:val="0"/>
            <w:vAlign w:val="top"/>
          </w:tcPr>
          <w:p w14:paraId="530DFEA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3E954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bottom w:val="single" w:color="auto" w:sz="4" w:space="0"/>
            </w:tcBorders>
            <w:noWrap w:val="0"/>
            <w:vAlign w:val="center"/>
          </w:tcPr>
          <w:p w14:paraId="60CFB60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项号</w:t>
            </w:r>
          </w:p>
        </w:tc>
        <w:tc>
          <w:tcPr>
            <w:tcW w:w="614" w:type="dxa"/>
            <w:tcBorders>
              <w:bottom w:val="single" w:color="auto" w:sz="4" w:space="0"/>
            </w:tcBorders>
            <w:noWrap w:val="0"/>
            <w:vAlign w:val="center"/>
          </w:tcPr>
          <w:p w14:paraId="4212830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951" w:type="dxa"/>
            <w:tcBorders>
              <w:bottom w:val="single" w:color="auto" w:sz="4" w:space="0"/>
            </w:tcBorders>
            <w:noWrap w:val="0"/>
            <w:vAlign w:val="center"/>
          </w:tcPr>
          <w:p w14:paraId="58BE530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7314" w:type="dxa"/>
            <w:tcBorders>
              <w:bottom w:val="single" w:color="auto" w:sz="4" w:space="0"/>
            </w:tcBorders>
            <w:noWrap w:val="0"/>
            <w:vAlign w:val="center"/>
          </w:tcPr>
          <w:p w14:paraId="31212AE2">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246EC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3E2EB4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064404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31EE72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7499151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1E897CA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0AB74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77B2F5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41AC3F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6161D1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76850D8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57BD9A5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1121265C">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745B7FC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582E859F">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3EFD66DE">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tc>
      </w:tr>
      <w:tr w14:paraId="43A92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497807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49529E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766F17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7804AC3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4D1DC51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2BBC221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176433F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3D07DDBA">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58151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6A02C9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28B34B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566EA2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62C78E7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7DEE9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60D66D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3407B5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7EA97F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04C03C5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4333E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57C201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346AF3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120F65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14" w:type="dxa"/>
            <w:tcBorders>
              <w:top w:val="single" w:color="auto" w:sz="4" w:space="0"/>
              <w:left w:val="single" w:color="auto" w:sz="4" w:space="0"/>
              <w:bottom w:val="single" w:color="auto" w:sz="4" w:space="0"/>
              <w:right w:val="single" w:color="auto" w:sz="4" w:space="0"/>
            </w:tcBorders>
            <w:noWrap w:val="0"/>
            <w:vAlign w:val="center"/>
          </w:tcPr>
          <w:p w14:paraId="6C28AB0F">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w:t>
            </w:r>
            <w:r>
              <w:rPr>
                <w:rFonts w:hint="eastAsia" w:ascii="宋体" w:hAnsi="宋体" w:cs="宋体"/>
                <w:color w:val="auto"/>
                <w:sz w:val="24"/>
                <w:szCs w:val="24"/>
                <w:highlight w:val="none"/>
                <w:lang w:eastAsia="zh-CN"/>
              </w:rPr>
              <w:t>信用中国(福建厦门)（credit.xm.gov.cn）</w:t>
            </w:r>
            <w:r>
              <w:rPr>
                <w:rFonts w:hint="eastAsia" w:ascii="宋体" w:hAnsi="宋体" w:eastAsia="宋体" w:cs="宋体"/>
                <w:color w:val="auto"/>
                <w:sz w:val="24"/>
                <w:szCs w:val="24"/>
                <w:highlight w:val="none"/>
              </w:rPr>
              <w:t>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522AC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3747B18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471EAC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42D9C4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0AD11948">
            <w:pPr>
              <w:pStyle w:val="9"/>
              <w:keepNext w:val="0"/>
              <w:keepLines w:val="0"/>
              <w:suppressLineNumbers w:val="0"/>
              <w:shd w:val="clear" w:color="auto" w:fill="FFFFFF"/>
              <w:spacing w:before="0" w:beforeAutospacing="0" w:after="0" w:afterAutospacing="0"/>
              <w:ind w:left="0" w:right="0" w:firstLine="0" w:firstLineChars="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★1.投标人应提供工商营业执照（副本）的复印件（加盖公章）。</w:t>
            </w:r>
          </w:p>
        </w:tc>
      </w:tr>
      <w:tr w14:paraId="7717A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6F9A36C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14" w:type="dxa"/>
            <w:tcBorders>
              <w:top w:val="single" w:color="auto" w:sz="4" w:space="0"/>
              <w:left w:val="single" w:color="auto" w:sz="4" w:space="0"/>
              <w:bottom w:val="single" w:color="auto" w:sz="4" w:space="0"/>
              <w:right w:val="single" w:color="auto" w:sz="4" w:space="0"/>
            </w:tcBorders>
            <w:noWrap w:val="0"/>
            <w:vAlign w:val="top"/>
          </w:tcPr>
          <w:p w14:paraId="3DA33F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top"/>
          </w:tcPr>
          <w:p w14:paraId="74E381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14" w:type="dxa"/>
            <w:tcBorders>
              <w:top w:val="single" w:color="auto" w:sz="4" w:space="0"/>
              <w:left w:val="single" w:color="auto" w:sz="4" w:space="0"/>
              <w:bottom w:val="single" w:color="auto" w:sz="4" w:space="0"/>
              <w:right w:val="single" w:color="auto" w:sz="4" w:space="0"/>
            </w:tcBorders>
            <w:noWrap w:val="0"/>
            <w:vAlign w:val="top"/>
          </w:tcPr>
          <w:p w14:paraId="4344710E">
            <w:pPr>
              <w:pStyle w:val="9"/>
              <w:keepNext w:val="0"/>
              <w:keepLines w:val="0"/>
              <w:suppressLineNumbers w:val="0"/>
              <w:shd w:val="clear" w:color="auto" w:fill="FFFFFF"/>
              <w:spacing w:before="0" w:beforeAutospacing="0" w:after="0" w:afterAutospacing="0"/>
              <w:ind w:left="0" w:right="0" w:firstLine="0" w:firstLineChars="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w:t>
            </w:r>
            <w:r>
              <w:rPr>
                <w:rFonts w:hint="default" w:ascii="宋体" w:hAnsi="宋体" w:cs="宋体"/>
                <w:b/>
                <w:bCs/>
                <w:color w:val="auto"/>
                <w:sz w:val="24"/>
                <w:szCs w:val="24"/>
                <w:highlight w:val="none"/>
              </w:rPr>
              <w:t>2.</w:t>
            </w:r>
            <w:r>
              <w:rPr>
                <w:rFonts w:hint="eastAsia" w:ascii="宋体" w:hAnsi="宋体" w:cs="宋体"/>
                <w:b/>
                <w:bCs/>
                <w:color w:val="auto"/>
                <w:sz w:val="24"/>
                <w:szCs w:val="24"/>
                <w:highlight w:val="none"/>
              </w:rPr>
              <w:t>投标人全权代表若不是单位负责人，应提供单位授权书原件，并提供被授权代表身份证复印件。</w:t>
            </w:r>
          </w:p>
        </w:tc>
      </w:tr>
      <w:tr w14:paraId="677FE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7F1B91B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614" w:type="dxa"/>
            <w:tcBorders>
              <w:top w:val="single" w:color="auto" w:sz="4" w:space="0"/>
              <w:left w:val="single" w:color="auto" w:sz="4" w:space="0"/>
              <w:bottom w:val="single" w:color="auto" w:sz="4" w:space="0"/>
              <w:right w:val="single" w:color="auto" w:sz="4" w:space="0"/>
            </w:tcBorders>
            <w:noWrap w:val="0"/>
            <w:vAlign w:val="top"/>
          </w:tcPr>
          <w:p w14:paraId="1BEAA3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top"/>
          </w:tcPr>
          <w:p w14:paraId="01A711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14" w:type="dxa"/>
            <w:tcBorders>
              <w:top w:val="single" w:color="auto" w:sz="4" w:space="0"/>
              <w:left w:val="single" w:color="auto" w:sz="4" w:space="0"/>
              <w:bottom w:val="single" w:color="auto" w:sz="4" w:space="0"/>
              <w:right w:val="single" w:color="auto" w:sz="4" w:space="0"/>
            </w:tcBorders>
            <w:noWrap w:val="0"/>
            <w:vAlign w:val="top"/>
          </w:tcPr>
          <w:p w14:paraId="30959107">
            <w:pPr>
              <w:pStyle w:val="9"/>
              <w:keepNext w:val="0"/>
              <w:keepLines w:val="0"/>
              <w:suppressLineNumbers w:val="0"/>
              <w:shd w:val="clear" w:color="auto" w:fill="FFFFFF"/>
              <w:spacing w:before="0" w:beforeAutospacing="0" w:after="0" w:afterAutospacing="0"/>
              <w:ind w:left="0" w:right="0" w:firstLine="0" w:firstLineChars="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w:t>
            </w:r>
            <w:r>
              <w:rPr>
                <w:rFonts w:hint="default" w:ascii="宋体" w:hAnsi="宋体" w:cs="宋体"/>
                <w:b/>
                <w:bCs/>
                <w:color w:val="auto"/>
                <w:sz w:val="24"/>
                <w:szCs w:val="24"/>
                <w:highlight w:val="none"/>
              </w:rPr>
              <w:t>3.</w:t>
            </w:r>
            <w:r>
              <w:rPr>
                <w:rFonts w:hint="eastAsia" w:ascii="宋体" w:hAnsi="宋体" w:cs="宋体"/>
                <w:b/>
                <w:bCs/>
                <w:color w:val="auto"/>
                <w:sz w:val="24"/>
                <w:szCs w:val="24"/>
                <w:highlight w:val="none"/>
              </w:rPr>
              <w:t>本项目专门面向</w:t>
            </w:r>
            <w:r>
              <w:rPr>
                <w:rFonts w:hint="eastAsia" w:ascii="宋体" w:hAnsi="宋体" w:cs="宋体"/>
                <w:b/>
                <w:bCs/>
                <w:color w:val="auto"/>
                <w:sz w:val="24"/>
                <w:szCs w:val="24"/>
                <w:highlight w:val="none"/>
                <w:lang w:val="en-US" w:eastAsia="zh-CN"/>
              </w:rPr>
              <w:t>小微</w:t>
            </w:r>
            <w:r>
              <w:rPr>
                <w:rFonts w:hint="eastAsia" w:ascii="宋体" w:hAnsi="宋体" w:cs="宋体"/>
                <w:b/>
                <w:bCs/>
                <w:color w:val="auto"/>
                <w:sz w:val="24"/>
                <w:szCs w:val="24"/>
                <w:highlight w:val="none"/>
              </w:rPr>
              <w:t>企业采购，投标人所投所有采购标的均为小微企业制造，并提供中小企业声明函，非</w:t>
            </w:r>
            <w:r>
              <w:rPr>
                <w:rFonts w:hint="eastAsia" w:ascii="宋体" w:hAnsi="宋体" w:cs="宋体"/>
                <w:b/>
                <w:bCs/>
                <w:color w:val="auto"/>
                <w:sz w:val="24"/>
                <w:szCs w:val="24"/>
                <w:highlight w:val="none"/>
                <w:lang w:val="en-US" w:eastAsia="zh-CN"/>
              </w:rPr>
              <w:t>小微</w:t>
            </w:r>
            <w:r>
              <w:rPr>
                <w:rFonts w:hint="eastAsia" w:ascii="宋体" w:hAnsi="宋体" w:cs="宋体"/>
                <w:b/>
                <w:bCs/>
                <w:color w:val="auto"/>
                <w:sz w:val="24"/>
                <w:szCs w:val="24"/>
                <w:highlight w:val="none"/>
              </w:rPr>
              <w:t>企业投标将被拒绝，且本项目不再执行价格评审优惠的扶持政策。</w:t>
            </w:r>
          </w:p>
        </w:tc>
      </w:tr>
      <w:tr w14:paraId="0512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9" w:type="dxa"/>
            <w:gridSpan w:val="4"/>
            <w:tcBorders>
              <w:top w:val="single" w:color="auto" w:sz="4" w:space="0"/>
              <w:left w:val="single" w:color="auto" w:sz="4" w:space="0"/>
              <w:bottom w:val="single" w:color="auto" w:sz="4" w:space="0"/>
              <w:right w:val="single" w:color="auto" w:sz="4" w:space="0"/>
            </w:tcBorders>
            <w:noWrap w:val="0"/>
            <w:vAlign w:val="top"/>
          </w:tcPr>
          <w:p w14:paraId="7E38FA5D">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64A0E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46F12E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1DDEA1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2456AC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7C8282C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316BD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209BF4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1E3592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5996BE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7314" w:type="dxa"/>
            <w:tcBorders>
              <w:top w:val="single" w:color="auto" w:sz="4" w:space="0"/>
              <w:left w:val="single" w:color="auto" w:sz="4" w:space="0"/>
              <w:bottom w:val="single" w:color="auto" w:sz="4" w:space="0"/>
              <w:right w:val="single" w:color="auto" w:sz="4" w:space="0"/>
            </w:tcBorders>
            <w:noWrap w:val="0"/>
            <w:vAlign w:val="top"/>
          </w:tcPr>
          <w:p w14:paraId="6833C72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52E71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15D844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73E40F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311EFD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25C730D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70CCE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6C52F1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75AC05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52DC85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7009B0F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7DA2E8F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3A2B04F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57485E8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1917B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6C0F46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2C0100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756CC2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5DAFA18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36427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1AA383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702FE7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27BB79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51F622E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5598E15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191C54E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325F2FD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482C834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3FE0E37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376EAAB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28B1BBC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0FF0F9B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26A6217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578EDC2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7A2AB35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7E21FF8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71F78A9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4E86146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w:t>
            </w:r>
            <w:r>
              <w:rPr>
                <w:rFonts w:hint="eastAsia" w:ascii="宋体" w:hAnsi="宋体" w:eastAsia="宋体" w:cs="宋体"/>
                <w:color w:val="auto"/>
                <w:sz w:val="24"/>
                <w:szCs w:val="24"/>
                <w:highlight w:val="none"/>
              </w:rPr>
              <w:t>利害关系的人</w:t>
            </w:r>
            <w:r>
              <w:rPr>
                <w:rFonts w:hint="eastAsia" w:ascii="宋体" w:hAnsi="宋体" w:eastAsia="宋体" w:cs="宋体"/>
                <w:color w:val="auto"/>
                <w:sz w:val="24"/>
                <w:szCs w:val="24"/>
                <w:highlight w:val="none"/>
              </w:rPr>
              <w:t>携带两个以上（含两个）投标人的企业资料参与资格审查、领取招标资料，或代表两个以上（含两个）投标人参加招标答疑会、交纳或退还投标保证金、开标的；</w:t>
            </w:r>
          </w:p>
          <w:p w14:paraId="3D2F641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4580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52AAC2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3F7100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22F784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7314" w:type="dxa"/>
            <w:tcBorders>
              <w:top w:val="single" w:color="auto" w:sz="4" w:space="0"/>
              <w:left w:val="single" w:color="auto" w:sz="4" w:space="0"/>
              <w:bottom w:val="single" w:color="auto" w:sz="4" w:space="0"/>
              <w:right w:val="single" w:color="auto" w:sz="4" w:space="0"/>
            </w:tcBorders>
            <w:noWrap w:val="0"/>
            <w:vAlign w:val="top"/>
          </w:tcPr>
          <w:p w14:paraId="2B569AC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238C0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32BF2B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041103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775189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7314" w:type="dxa"/>
            <w:tcBorders>
              <w:top w:val="single" w:color="auto" w:sz="4" w:space="0"/>
              <w:left w:val="single" w:color="auto" w:sz="4" w:space="0"/>
              <w:bottom w:val="single" w:color="auto" w:sz="4" w:space="0"/>
              <w:right w:val="single" w:color="auto" w:sz="4" w:space="0"/>
            </w:tcBorders>
            <w:noWrap w:val="0"/>
            <w:vAlign w:val="top"/>
          </w:tcPr>
          <w:p w14:paraId="52993FA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42249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630FAB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6A21E9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0EC3AD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1A1610A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3F54B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14D773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4C34B8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322337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37B574D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1EE33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28E6AA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19740F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42BBD57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7E44024A">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0471A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79ABF6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2E8AE6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5497D0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356233A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4AF2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7E034D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0B1A62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4736DB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1F83B371">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27F49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3F3BCD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0DBAFF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27C062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7314" w:type="dxa"/>
            <w:tcBorders>
              <w:top w:val="single" w:color="auto" w:sz="4" w:space="0"/>
              <w:left w:val="single" w:color="auto" w:sz="4" w:space="0"/>
              <w:bottom w:val="single" w:color="auto" w:sz="4" w:space="0"/>
              <w:right w:val="single" w:color="auto" w:sz="4" w:space="0"/>
            </w:tcBorders>
            <w:noWrap w:val="0"/>
            <w:vAlign w:val="center"/>
          </w:tcPr>
          <w:p w14:paraId="25EA75E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50BCC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3CABD6F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70159E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126089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7314" w:type="dxa"/>
            <w:tcBorders>
              <w:top w:val="single" w:color="auto" w:sz="4" w:space="0"/>
              <w:left w:val="single" w:color="auto" w:sz="4" w:space="0"/>
              <w:bottom w:val="single" w:color="auto" w:sz="4" w:space="0"/>
              <w:right w:val="single" w:color="auto" w:sz="4" w:space="0"/>
            </w:tcBorders>
            <w:noWrap w:val="0"/>
            <w:vAlign w:val="top"/>
          </w:tcPr>
          <w:p w14:paraId="51807E16">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5D2F7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68709E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321E1F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391BBA0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7314" w:type="dxa"/>
            <w:tcBorders>
              <w:top w:val="single" w:color="auto" w:sz="4" w:space="0"/>
              <w:left w:val="single" w:color="auto" w:sz="4" w:space="0"/>
              <w:bottom w:val="single" w:color="auto" w:sz="4" w:space="0"/>
              <w:right w:val="single" w:color="auto" w:sz="4" w:space="0"/>
            </w:tcBorders>
            <w:noWrap w:val="0"/>
            <w:vAlign w:val="top"/>
          </w:tcPr>
          <w:p w14:paraId="476926B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05722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79D0D5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3E9DCC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473A96F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7314" w:type="dxa"/>
            <w:tcBorders>
              <w:top w:val="single" w:color="auto" w:sz="4" w:space="0"/>
              <w:left w:val="single" w:color="auto" w:sz="4" w:space="0"/>
              <w:bottom w:val="single" w:color="auto" w:sz="4" w:space="0"/>
              <w:right w:val="single" w:color="auto" w:sz="4" w:space="0"/>
            </w:tcBorders>
            <w:noWrap w:val="0"/>
            <w:vAlign w:val="top"/>
          </w:tcPr>
          <w:p w14:paraId="7DCAAAC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27688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21CCF8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23C665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78060BA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7314" w:type="dxa"/>
            <w:tcBorders>
              <w:top w:val="single" w:color="auto" w:sz="4" w:space="0"/>
              <w:left w:val="single" w:color="auto" w:sz="4" w:space="0"/>
              <w:bottom w:val="single" w:color="auto" w:sz="4" w:space="0"/>
              <w:right w:val="single" w:color="auto" w:sz="4" w:space="0"/>
            </w:tcBorders>
            <w:noWrap w:val="0"/>
            <w:vAlign w:val="top"/>
          </w:tcPr>
          <w:p w14:paraId="564BEC9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0F5DCC4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6DC9E72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40E57F3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0E1C29B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7F4DBD7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1925C1E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7F84111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2AC4D12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5DEFC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top w:val="single" w:color="auto" w:sz="4" w:space="0"/>
              <w:left w:val="single" w:color="auto" w:sz="4" w:space="0"/>
              <w:bottom w:val="single" w:color="auto" w:sz="4" w:space="0"/>
              <w:right w:val="single" w:color="auto" w:sz="4" w:space="0"/>
            </w:tcBorders>
            <w:noWrap w:val="0"/>
            <w:vAlign w:val="center"/>
          </w:tcPr>
          <w:p w14:paraId="261FB3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14" w:type="dxa"/>
            <w:tcBorders>
              <w:top w:val="single" w:color="auto" w:sz="4" w:space="0"/>
              <w:left w:val="single" w:color="auto" w:sz="4" w:space="0"/>
              <w:bottom w:val="single" w:color="auto" w:sz="4" w:space="0"/>
              <w:right w:val="single" w:color="auto" w:sz="4" w:space="0"/>
            </w:tcBorders>
            <w:noWrap w:val="0"/>
            <w:vAlign w:val="center"/>
          </w:tcPr>
          <w:p w14:paraId="185473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7FBAD0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7314" w:type="dxa"/>
            <w:tcBorders>
              <w:top w:val="single" w:color="auto" w:sz="4" w:space="0"/>
              <w:left w:val="single" w:color="auto" w:sz="4" w:space="0"/>
              <w:bottom w:val="single" w:color="auto" w:sz="4" w:space="0"/>
              <w:right w:val="single" w:color="auto" w:sz="4" w:space="0"/>
            </w:tcBorders>
            <w:noWrap w:val="0"/>
            <w:vAlign w:val="top"/>
          </w:tcPr>
          <w:p w14:paraId="258D027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32666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30" w:type="dxa"/>
            <w:tcBorders>
              <w:top w:val="single" w:color="auto" w:sz="4" w:space="0"/>
            </w:tcBorders>
            <w:noWrap w:val="0"/>
            <w:vAlign w:val="center"/>
          </w:tcPr>
          <w:p w14:paraId="7FA96F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14" w:type="dxa"/>
            <w:tcBorders>
              <w:top w:val="single" w:color="auto" w:sz="4" w:space="0"/>
            </w:tcBorders>
            <w:noWrap w:val="0"/>
            <w:vAlign w:val="center"/>
          </w:tcPr>
          <w:p w14:paraId="425A23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tcBorders>
              <w:top w:val="single" w:color="auto" w:sz="4" w:space="0"/>
            </w:tcBorders>
            <w:noWrap w:val="0"/>
            <w:vAlign w:val="center"/>
          </w:tcPr>
          <w:p w14:paraId="0212C3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7314" w:type="dxa"/>
            <w:tcBorders>
              <w:top w:val="single" w:color="auto" w:sz="4" w:space="0"/>
            </w:tcBorders>
            <w:noWrap w:val="0"/>
            <w:vAlign w:val="center"/>
          </w:tcPr>
          <w:p w14:paraId="6CDEA1A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30B2689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76565A7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2938F0F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71EDD44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42DEBA2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5308F44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tc>
      </w:tr>
      <w:tr w14:paraId="32B3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24B8C6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614" w:type="dxa"/>
            <w:noWrap w:val="0"/>
            <w:vAlign w:val="center"/>
          </w:tcPr>
          <w:p w14:paraId="798B7A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noWrap w:val="0"/>
            <w:vAlign w:val="center"/>
          </w:tcPr>
          <w:p w14:paraId="077B13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7314" w:type="dxa"/>
            <w:noWrap w:val="0"/>
            <w:vAlign w:val="center"/>
          </w:tcPr>
          <w:p w14:paraId="74591D1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3A59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7C1879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14" w:type="dxa"/>
            <w:noWrap w:val="0"/>
            <w:vAlign w:val="center"/>
          </w:tcPr>
          <w:p w14:paraId="3C2C84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51" w:type="dxa"/>
            <w:noWrap w:val="0"/>
            <w:vAlign w:val="center"/>
          </w:tcPr>
          <w:p w14:paraId="6AA634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7314" w:type="dxa"/>
            <w:noWrap w:val="0"/>
            <w:vAlign w:val="center"/>
          </w:tcPr>
          <w:p w14:paraId="52F0423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371F1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533519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614" w:type="dxa"/>
            <w:noWrap w:val="0"/>
            <w:vAlign w:val="center"/>
          </w:tcPr>
          <w:p w14:paraId="3B7812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951" w:type="dxa"/>
            <w:noWrap w:val="0"/>
            <w:vAlign w:val="center"/>
          </w:tcPr>
          <w:p w14:paraId="7AF5F60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7314" w:type="dxa"/>
            <w:noWrap w:val="0"/>
            <w:vAlign w:val="center"/>
          </w:tcPr>
          <w:p w14:paraId="344FC53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bCs/>
                <w:color w:val="auto"/>
                <w:sz w:val="24"/>
                <w:szCs w:val="24"/>
                <w:highlight w:val="none"/>
              </w:rPr>
              <w:t>否则作无效投标处理。</w:t>
            </w:r>
            <w:r>
              <w:rPr>
                <w:rFonts w:hint="eastAsia" w:ascii="宋体" w:hAnsi="宋体" w:eastAsia="宋体" w:cs="宋体"/>
                <w:color w:val="auto"/>
                <w:sz w:val="24"/>
                <w:szCs w:val="24"/>
                <w:highlight w:val="none"/>
                <w:lang w:val="en-US" w:eastAsia="zh-CN"/>
              </w:rPr>
              <w:t>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如需支付履约保证金的，</w:t>
            </w:r>
            <w:r>
              <w:rPr>
                <w:rFonts w:hint="eastAsia" w:ascii="宋体" w:hAnsi="宋体" w:eastAsia="宋体" w:cs="宋体"/>
                <w:color w:val="auto"/>
                <w:spacing w:val="0"/>
                <w:sz w:val="24"/>
                <w:szCs w:val="24"/>
                <w:highlight w:val="none"/>
              </w:rPr>
              <w:t>按约定比例的50%支付</w:t>
            </w:r>
            <w:r>
              <w:rPr>
                <w:rFonts w:hint="eastAsia" w:ascii="宋体" w:hAnsi="宋体" w:eastAsia="宋体" w:cs="宋体"/>
                <w:color w:val="auto"/>
                <w:sz w:val="24"/>
                <w:szCs w:val="24"/>
                <w:highlight w:val="none"/>
                <w:lang w:val="en-US" w:eastAsia="zh-CN"/>
              </w:rPr>
              <w:t>。</w:t>
            </w:r>
          </w:p>
        </w:tc>
      </w:tr>
      <w:tr w14:paraId="37E9D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34FD2FF9">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614" w:type="dxa"/>
            <w:noWrap w:val="0"/>
            <w:vAlign w:val="center"/>
          </w:tcPr>
          <w:p w14:paraId="52B991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noWrap w:val="0"/>
            <w:vAlign w:val="center"/>
          </w:tcPr>
          <w:p w14:paraId="724B99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14" w:type="dxa"/>
            <w:noWrap w:val="0"/>
            <w:vAlign w:val="center"/>
          </w:tcPr>
          <w:p w14:paraId="15355EC7">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13BECE24">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33A3C3B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5899B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0E956B6C">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614" w:type="dxa"/>
            <w:noWrap w:val="0"/>
            <w:vAlign w:val="center"/>
          </w:tcPr>
          <w:p w14:paraId="0FA359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noWrap w:val="0"/>
            <w:vAlign w:val="center"/>
          </w:tcPr>
          <w:p w14:paraId="469DCD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14" w:type="dxa"/>
            <w:noWrap w:val="0"/>
            <w:vAlign w:val="center"/>
          </w:tcPr>
          <w:p w14:paraId="020C5AE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12E93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22ECF8FA">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614" w:type="dxa"/>
            <w:noWrap w:val="0"/>
            <w:vAlign w:val="center"/>
          </w:tcPr>
          <w:p w14:paraId="130D83EE">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951" w:type="dxa"/>
            <w:noWrap w:val="0"/>
            <w:vAlign w:val="center"/>
          </w:tcPr>
          <w:p w14:paraId="2CF440BA">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314" w:type="dxa"/>
            <w:noWrap w:val="0"/>
            <w:vAlign w:val="center"/>
          </w:tcPr>
          <w:p w14:paraId="2B7A17AE">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14566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5C3A5902">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614" w:type="dxa"/>
            <w:noWrap w:val="0"/>
            <w:vAlign w:val="center"/>
          </w:tcPr>
          <w:p w14:paraId="3F7F0297">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51" w:type="dxa"/>
            <w:noWrap w:val="0"/>
            <w:vAlign w:val="center"/>
          </w:tcPr>
          <w:p w14:paraId="0AF81216">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314" w:type="dxa"/>
            <w:noWrap w:val="0"/>
            <w:vAlign w:val="center"/>
          </w:tcPr>
          <w:p w14:paraId="5CD91053">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1CDEB473">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01672BA5">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5B769EA3">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71620A13">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17C4C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5B8BF66D">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614" w:type="dxa"/>
            <w:noWrap w:val="0"/>
            <w:vAlign w:val="center"/>
          </w:tcPr>
          <w:p w14:paraId="2C7F6C3A">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51" w:type="dxa"/>
            <w:noWrap w:val="0"/>
            <w:vAlign w:val="center"/>
          </w:tcPr>
          <w:p w14:paraId="64F6F6B6">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314" w:type="dxa"/>
            <w:noWrap w:val="0"/>
            <w:vAlign w:val="center"/>
          </w:tcPr>
          <w:p w14:paraId="4A40CBB1">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cs="宋体"/>
                <w:bCs/>
                <w:color w:val="auto"/>
                <w:sz w:val="24"/>
                <w:szCs w:val="24"/>
                <w:highlight w:val="none"/>
                <w:lang w:eastAsia="zh-CN"/>
              </w:rPr>
              <w:t>全免</w:t>
            </w:r>
            <w:r>
              <w:rPr>
                <w:rFonts w:hint="eastAsia" w:ascii="宋体" w:hAnsi="宋体" w:eastAsia="宋体" w:cs="宋体"/>
                <w:bCs/>
                <w:color w:val="auto"/>
                <w:sz w:val="24"/>
                <w:szCs w:val="24"/>
                <w:highlight w:val="none"/>
              </w:rPr>
              <w:t>交纳投标保证金的投标人未按照招标文件格式要求在投标文件中提供《中小企业声明函》的，其投标作无效投标处理。</w:t>
            </w:r>
          </w:p>
        </w:tc>
      </w:tr>
      <w:tr w14:paraId="3DDF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bottom w:val="single" w:color="auto" w:sz="4" w:space="0"/>
            </w:tcBorders>
            <w:noWrap w:val="0"/>
            <w:vAlign w:val="center"/>
          </w:tcPr>
          <w:p w14:paraId="3985B3A9">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614" w:type="dxa"/>
            <w:tcBorders>
              <w:bottom w:val="single" w:color="auto" w:sz="4" w:space="0"/>
            </w:tcBorders>
            <w:noWrap w:val="0"/>
            <w:vAlign w:val="center"/>
          </w:tcPr>
          <w:p w14:paraId="13A702B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51" w:type="dxa"/>
            <w:tcBorders>
              <w:bottom w:val="single" w:color="auto" w:sz="4" w:space="0"/>
            </w:tcBorders>
            <w:noWrap w:val="0"/>
            <w:vAlign w:val="center"/>
          </w:tcPr>
          <w:p w14:paraId="24117EA1">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314" w:type="dxa"/>
            <w:tcBorders>
              <w:bottom w:val="single" w:color="auto" w:sz="4" w:space="0"/>
            </w:tcBorders>
            <w:noWrap w:val="0"/>
            <w:vAlign w:val="center"/>
          </w:tcPr>
          <w:p w14:paraId="194FFECC">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50D22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bottom w:val="single" w:color="auto" w:sz="4" w:space="0"/>
            </w:tcBorders>
            <w:noWrap w:val="0"/>
            <w:vAlign w:val="center"/>
          </w:tcPr>
          <w:p w14:paraId="2477EE0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614" w:type="dxa"/>
            <w:tcBorders>
              <w:bottom w:val="single" w:color="auto" w:sz="4" w:space="0"/>
            </w:tcBorders>
            <w:noWrap w:val="0"/>
            <w:vAlign w:val="center"/>
          </w:tcPr>
          <w:p w14:paraId="1CACC972">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51" w:type="dxa"/>
            <w:tcBorders>
              <w:bottom w:val="single" w:color="auto" w:sz="4" w:space="0"/>
            </w:tcBorders>
            <w:noWrap w:val="0"/>
            <w:vAlign w:val="center"/>
          </w:tcPr>
          <w:p w14:paraId="5F6DB079">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314" w:type="dxa"/>
            <w:tcBorders>
              <w:bottom w:val="single" w:color="auto" w:sz="4" w:space="0"/>
            </w:tcBorders>
            <w:noWrap w:val="0"/>
            <w:vAlign w:val="center"/>
          </w:tcPr>
          <w:p w14:paraId="686AC331">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39599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bottom w:val="single" w:color="auto" w:sz="4" w:space="0"/>
            </w:tcBorders>
            <w:noWrap w:val="0"/>
            <w:vAlign w:val="center"/>
          </w:tcPr>
          <w:p w14:paraId="325AB5B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614" w:type="dxa"/>
            <w:tcBorders>
              <w:bottom w:val="single" w:color="auto" w:sz="4" w:space="0"/>
            </w:tcBorders>
            <w:noWrap w:val="0"/>
            <w:vAlign w:val="center"/>
          </w:tcPr>
          <w:p w14:paraId="53DCC7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tcBorders>
              <w:bottom w:val="single" w:color="auto" w:sz="4" w:space="0"/>
            </w:tcBorders>
            <w:noWrap w:val="0"/>
            <w:vAlign w:val="center"/>
          </w:tcPr>
          <w:p w14:paraId="6C8851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14" w:type="dxa"/>
            <w:tcBorders>
              <w:bottom w:val="single" w:color="auto" w:sz="4" w:space="0"/>
            </w:tcBorders>
            <w:noWrap w:val="0"/>
            <w:vAlign w:val="center"/>
          </w:tcPr>
          <w:p w14:paraId="3969B11C">
            <w:pPr>
              <w:pStyle w:val="17"/>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14:paraId="23EF9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bottom w:val="single" w:color="auto" w:sz="4" w:space="0"/>
            </w:tcBorders>
            <w:noWrap w:val="0"/>
            <w:vAlign w:val="center"/>
          </w:tcPr>
          <w:p w14:paraId="74B2C2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tcBorders>
              <w:bottom w:val="single" w:color="auto" w:sz="4" w:space="0"/>
            </w:tcBorders>
            <w:noWrap w:val="0"/>
            <w:vAlign w:val="center"/>
          </w:tcPr>
          <w:p w14:paraId="5F0BF2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tcBorders>
              <w:bottom w:val="single" w:color="auto" w:sz="4" w:space="0"/>
            </w:tcBorders>
            <w:noWrap w:val="0"/>
            <w:vAlign w:val="center"/>
          </w:tcPr>
          <w:p w14:paraId="268038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二</w:t>
            </w:r>
          </w:p>
        </w:tc>
        <w:tc>
          <w:tcPr>
            <w:tcW w:w="7314" w:type="dxa"/>
            <w:tcBorders>
              <w:bottom w:val="single" w:color="auto" w:sz="4" w:space="0"/>
            </w:tcBorders>
            <w:noWrap w:val="0"/>
            <w:vAlign w:val="center"/>
          </w:tcPr>
          <w:p w14:paraId="69E5FDB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8.招标文件评审内容中涉及提供检测报告</w:t>
            </w:r>
            <w:r>
              <w:rPr>
                <w:rFonts w:hint="eastAsia" w:ascii="宋体" w:hAnsi="宋体"/>
                <w:b/>
                <w:color w:val="auto"/>
                <w:sz w:val="24"/>
                <w:szCs w:val="24"/>
                <w:highlight w:val="none"/>
                <w:lang w:val="en-US" w:eastAsia="zh-CN"/>
              </w:rPr>
              <w:t>或发票或合同</w:t>
            </w:r>
            <w:r>
              <w:rPr>
                <w:rFonts w:hint="eastAsia" w:ascii="宋体" w:hAnsi="宋体"/>
                <w:b/>
                <w:color w:val="auto"/>
                <w:sz w:val="24"/>
                <w:szCs w:val="24"/>
                <w:highlight w:val="none"/>
              </w:rPr>
              <w:t>复印件的，中标后，使用单位将要求中标供应商提供</w:t>
            </w:r>
            <w:r>
              <w:rPr>
                <w:rFonts w:hint="eastAsia" w:ascii="宋体" w:hAnsi="宋体"/>
                <w:b/>
                <w:color w:val="auto"/>
                <w:sz w:val="24"/>
                <w:szCs w:val="24"/>
                <w:highlight w:val="none"/>
                <w:lang w:val="en-US" w:eastAsia="zh-CN"/>
              </w:rPr>
              <w:t>上述材料</w:t>
            </w:r>
            <w:r>
              <w:rPr>
                <w:rFonts w:hint="eastAsia" w:ascii="宋体" w:hAnsi="宋体"/>
                <w:b/>
                <w:color w:val="auto"/>
                <w:sz w:val="24"/>
                <w:szCs w:val="24"/>
                <w:highlight w:val="none"/>
              </w:rPr>
              <w:t>原件予以核对，中标供应商应在3日内提供</w:t>
            </w:r>
            <w:r>
              <w:rPr>
                <w:rFonts w:hint="eastAsia" w:ascii="宋体" w:hAnsi="宋体"/>
                <w:b/>
                <w:color w:val="auto"/>
                <w:sz w:val="24"/>
                <w:szCs w:val="24"/>
                <w:highlight w:val="none"/>
                <w:lang w:val="en-US" w:eastAsia="zh-CN"/>
              </w:rPr>
              <w:t>上述材料</w:t>
            </w:r>
            <w:r>
              <w:rPr>
                <w:rFonts w:hint="eastAsia" w:ascii="宋体" w:hAnsi="宋体"/>
                <w:b/>
                <w:color w:val="auto"/>
                <w:sz w:val="24"/>
                <w:szCs w:val="24"/>
                <w:highlight w:val="none"/>
              </w:rPr>
              <w:t>原件</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检测报告须提供查询网址或真伪查询二维码</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。如中标供应商无法提供</w:t>
            </w:r>
            <w:r>
              <w:rPr>
                <w:rFonts w:hint="eastAsia" w:ascii="宋体" w:hAnsi="宋体"/>
                <w:b/>
                <w:color w:val="auto"/>
                <w:sz w:val="24"/>
                <w:szCs w:val="24"/>
                <w:highlight w:val="none"/>
                <w:lang w:val="en-US" w:eastAsia="zh-CN"/>
              </w:rPr>
              <w:t>上述材料</w:t>
            </w:r>
            <w:r>
              <w:rPr>
                <w:rFonts w:hint="eastAsia" w:ascii="宋体" w:hAnsi="宋体"/>
                <w:b/>
                <w:color w:val="auto"/>
                <w:sz w:val="24"/>
                <w:szCs w:val="24"/>
                <w:highlight w:val="none"/>
              </w:rPr>
              <w:t>原件，或者发现中标供应商提供的</w:t>
            </w:r>
            <w:r>
              <w:rPr>
                <w:rFonts w:hint="eastAsia" w:ascii="宋体" w:hAnsi="宋体"/>
                <w:b/>
                <w:color w:val="auto"/>
                <w:sz w:val="24"/>
                <w:szCs w:val="24"/>
                <w:highlight w:val="none"/>
                <w:lang w:val="en-US" w:eastAsia="zh-CN"/>
              </w:rPr>
              <w:t>上述材料</w:t>
            </w:r>
            <w:r>
              <w:rPr>
                <w:rFonts w:hint="eastAsia" w:ascii="宋体" w:hAnsi="宋体"/>
                <w:b/>
                <w:color w:val="auto"/>
                <w:sz w:val="24"/>
                <w:szCs w:val="24"/>
                <w:highlight w:val="none"/>
              </w:rPr>
              <w:t>原件与复印件不一致，或者经查询发现检测报告存在造假情形的，使用单位将向采购监管部门提请监督检查，取消中标供应商资格并列入不良行为记录。（投标人须在投标文件中响应满足上述条款要求，否则作无效投标处理）</w:t>
            </w:r>
          </w:p>
        </w:tc>
      </w:tr>
      <w:tr w14:paraId="3B1AA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bottom w:val="single" w:color="auto" w:sz="4" w:space="0"/>
            </w:tcBorders>
            <w:noWrap w:val="0"/>
            <w:vAlign w:val="center"/>
          </w:tcPr>
          <w:p w14:paraId="2B19D4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tcBorders>
              <w:bottom w:val="single" w:color="auto" w:sz="4" w:space="0"/>
            </w:tcBorders>
            <w:noWrap w:val="0"/>
            <w:vAlign w:val="center"/>
          </w:tcPr>
          <w:p w14:paraId="0D9F73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tcBorders>
              <w:bottom w:val="single" w:color="auto" w:sz="4" w:space="0"/>
            </w:tcBorders>
            <w:noWrap w:val="0"/>
            <w:vAlign w:val="center"/>
          </w:tcPr>
          <w:p w14:paraId="586E2C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14" w:type="dxa"/>
            <w:tcBorders>
              <w:bottom w:val="single" w:color="auto" w:sz="4" w:space="0"/>
            </w:tcBorders>
            <w:noWrap w:val="0"/>
            <w:vAlign w:val="center"/>
          </w:tcPr>
          <w:p w14:paraId="6EFA07A6">
            <w:pPr>
              <w:keepNext w:val="0"/>
              <w:keepLines w:val="0"/>
              <w:pageBreakBefore w:val="0"/>
              <w:suppressLineNumbers w:val="0"/>
              <w:kinsoku/>
              <w:wordWrap/>
              <w:overflowPunct/>
              <w:topLinePunct w:val="0"/>
              <w:autoSpaceDE/>
              <w:autoSpaceDN/>
              <w:bidi w:val="0"/>
              <w:adjustRightInd/>
              <w:spacing w:before="0" w:beforeAutospacing="0" w:after="0" w:afterAutospacing="0" w:line="360" w:lineRule="auto"/>
              <w:ind w:left="0" w:right="0" w:firstLine="0" w:firstLineChars="0"/>
              <w:textAlignment w:val="auto"/>
              <w:rPr>
                <w:rFonts w:hint="default" w:ascii="宋体" w:hAnsi="宋体" w:cs="宋体"/>
                <w:b/>
                <w:color w:val="auto"/>
                <w:sz w:val="24"/>
                <w:szCs w:val="24"/>
                <w:highlight w:val="none"/>
              </w:rPr>
            </w:pPr>
            <w:r>
              <w:rPr>
                <w:rFonts w:hint="eastAsia" w:ascii="宋体" w:hAnsi="宋体" w:cs="宋体"/>
                <w:b/>
                <w:bCs/>
                <w:color w:val="auto"/>
                <w:sz w:val="24"/>
                <w:szCs w:val="24"/>
                <w:highlight w:val="none"/>
              </w:rPr>
              <w:t>★9.样品：未提供样品（不接受3D打印小样）或提供的样品不全、不满足</w:t>
            </w:r>
            <w:r>
              <w:rPr>
                <w:rFonts w:hint="eastAsia" w:ascii="宋体" w:hAnsi="宋体" w:cs="宋体"/>
                <w:b/>
                <w:bCs/>
                <w:color w:val="auto"/>
                <w:sz w:val="24"/>
                <w:szCs w:val="24"/>
                <w:highlight w:val="none"/>
                <w:lang w:val="en-US" w:eastAsia="zh-CN"/>
              </w:rPr>
              <w:t>下述</w:t>
            </w:r>
            <w:r>
              <w:rPr>
                <w:rFonts w:hint="eastAsia" w:ascii="宋体" w:hAnsi="宋体" w:cs="宋体"/>
                <w:b/>
                <w:bCs/>
                <w:color w:val="auto"/>
                <w:sz w:val="24"/>
                <w:szCs w:val="24"/>
                <w:highlight w:val="none"/>
              </w:rPr>
              <w:t>技术参数（未标明±偏离值的尺寸，允许±3%）要求的将视为无效投标：</w:t>
            </w:r>
          </w:p>
          <w:p w14:paraId="63E668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9.1</w:t>
            </w:r>
            <w:r>
              <w:rPr>
                <w:rFonts w:hint="eastAsia" w:ascii="宋体" w:hAnsi="宋体" w:cs="宋体"/>
                <w:b/>
                <w:bCs/>
                <w:color w:val="auto"/>
                <w:sz w:val="24"/>
                <w:szCs w:val="24"/>
                <w:highlight w:val="none"/>
              </w:rPr>
              <w:t>序号1：</w:t>
            </w:r>
            <w:r>
              <w:rPr>
                <w:rFonts w:hint="eastAsia" w:ascii="宋体" w:hAnsi="宋体" w:eastAsia="宋体" w:cs="宋体"/>
                <w:b/>
                <w:bCs/>
                <w:color w:val="auto"/>
                <w:sz w:val="24"/>
                <w:szCs w:val="24"/>
                <w:highlight w:val="none"/>
              </w:rPr>
              <w:t>床立柱小样</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喷漆和未喷漆各1</w:t>
            </w:r>
            <w:r>
              <w:rPr>
                <w:rFonts w:hint="eastAsia" w:ascii="宋体" w:hAnsi="宋体" w:eastAsia="宋体" w:cs="宋体"/>
                <w:b/>
                <w:bCs/>
                <w:color w:val="auto"/>
                <w:sz w:val="24"/>
                <w:szCs w:val="24"/>
                <w:highlight w:val="none"/>
                <w:lang w:eastAsia="zh-CN"/>
              </w:rPr>
              <w:t>根</w:t>
            </w:r>
            <w:r>
              <w:rPr>
                <w:rFonts w:hint="eastAsia" w:ascii="宋体" w:hAnsi="宋体" w:eastAsia="宋体" w:cs="宋体"/>
                <w:b/>
                <w:bCs/>
                <w:color w:val="auto"/>
                <w:sz w:val="24"/>
                <w:szCs w:val="24"/>
                <w:highlight w:val="none"/>
              </w:rPr>
              <w:t>）长约300mm：环形密闭冷轧钢管，厚度</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1.</w:t>
            </w: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mm，外径</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72mm，横面40mm,弧形面有三条内凹加强筋</w:t>
            </w:r>
            <w:r>
              <w:rPr>
                <w:rFonts w:hint="eastAsia" w:ascii="宋体" w:hAnsi="宋体" w:eastAsia="宋体" w:cs="宋体"/>
                <w:b/>
                <w:bCs/>
                <w:color w:val="auto"/>
                <w:sz w:val="24"/>
                <w:szCs w:val="24"/>
                <w:highlight w:val="none"/>
                <w:lang w:eastAsia="zh-CN"/>
              </w:rPr>
              <w:t>。</w:t>
            </w:r>
          </w:p>
          <w:p w14:paraId="1595B1F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drawing>
                <wp:inline distT="0" distB="0" distL="114300" distR="114300">
                  <wp:extent cx="3522345" cy="2520950"/>
                  <wp:effectExtent l="0" t="0" r="13335" b="889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5"/>
                          <a:stretch>
                            <a:fillRect/>
                          </a:stretch>
                        </pic:blipFill>
                        <pic:spPr>
                          <a:xfrm>
                            <a:off x="0" y="0"/>
                            <a:ext cx="3522345" cy="2520950"/>
                          </a:xfrm>
                          <a:prstGeom prst="rect">
                            <a:avLst/>
                          </a:prstGeom>
                          <a:noFill/>
                          <a:ln>
                            <a:noFill/>
                          </a:ln>
                        </pic:spPr>
                      </pic:pic>
                    </a:graphicData>
                  </a:graphic>
                </wp:inline>
              </w:drawing>
            </w:r>
          </w:p>
          <w:p w14:paraId="7FCE2FA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firstLineChars="0"/>
              <w:textAlignment w:val="auto"/>
              <w:rPr>
                <w:rFonts w:hint="eastAsia" w:ascii="宋体" w:hAnsi="宋体" w:eastAsia="宋体" w:cs="宋体"/>
                <w:color w:val="auto"/>
                <w:sz w:val="24"/>
                <w:szCs w:val="24"/>
                <w:highlight w:val="none"/>
                <w:lang w:eastAsia="zh-CN"/>
              </w:rPr>
            </w:pPr>
          </w:p>
          <w:p w14:paraId="7F0387DA">
            <w:pPr>
              <w:keepNext w:val="0"/>
              <w:keepLines w:val="0"/>
              <w:pageBreakBefore w:val="0"/>
              <w:suppressLineNumbers w:val="0"/>
              <w:kinsoku/>
              <w:wordWrap/>
              <w:overflowPunct/>
              <w:topLinePunct w:val="0"/>
              <w:autoSpaceDE/>
              <w:autoSpaceDN/>
              <w:bidi w:val="0"/>
              <w:adjustRightInd/>
              <w:spacing w:before="0" w:beforeAutospacing="0" w:after="0" w:afterAutospacing="0" w:line="360" w:lineRule="auto"/>
              <w:ind w:left="0" w:right="0" w:firstLine="0" w:firstLineChars="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9.2</w:t>
            </w:r>
            <w:r>
              <w:rPr>
                <w:rFonts w:hint="eastAsia" w:ascii="宋体" w:hAnsi="宋体" w:cs="宋体"/>
                <w:b/>
                <w:bCs/>
                <w:color w:val="auto"/>
                <w:sz w:val="24"/>
                <w:szCs w:val="24"/>
                <w:highlight w:val="none"/>
              </w:rPr>
              <w:t>序号</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普通床</w:t>
            </w:r>
            <w:r>
              <w:rPr>
                <w:rFonts w:hint="eastAsia" w:ascii="宋体" w:hAnsi="宋体" w:eastAsia="宋体" w:cs="宋体"/>
                <w:b/>
                <w:bCs/>
                <w:color w:val="auto"/>
                <w:sz w:val="24"/>
                <w:szCs w:val="24"/>
                <w:highlight w:val="none"/>
              </w:rPr>
              <w:t>床卡扣(未喷漆1个)：床卡扣≥31mm×26mm×205mm×3.0mm，卡齿≥3个，卡齿外径≥12mm；整体卡扣隐藏式,表面平整光滑，无冲压孔，安装后挂齿不外露；卡齿不采用焊接，通过冲压铆压成型，确保牢固。</w:t>
            </w:r>
          </w:p>
          <w:p w14:paraId="6889B925">
            <w:pPr>
              <w:keepNext w:val="0"/>
              <w:keepLines w:val="0"/>
              <w:pageBreakBefore w:val="0"/>
              <w:suppressLineNumbers w:val="0"/>
              <w:kinsoku/>
              <w:wordWrap/>
              <w:overflowPunct/>
              <w:topLinePunct w:val="0"/>
              <w:autoSpaceDE/>
              <w:autoSpaceDN/>
              <w:bidi w:val="0"/>
              <w:adjustRightInd/>
              <w:spacing w:before="0" w:beforeAutospacing="0" w:after="0" w:afterAutospacing="0" w:line="360" w:lineRule="auto"/>
              <w:ind w:left="0" w:right="0" w:firstLine="0" w:firstLineChars="0"/>
              <w:textAlignment w:val="auto"/>
              <w:rPr>
                <w:rFonts w:hint="eastAsia" w:ascii="仿宋" w:hAnsi="仿宋" w:eastAsia="仿宋" w:cs="Times New Roman"/>
                <w:color w:val="auto"/>
                <w:szCs w:val="28"/>
                <w:highlight w:val="none"/>
              </w:rPr>
            </w:pPr>
            <w:r>
              <w:rPr>
                <w:rFonts w:hint="eastAsia" w:ascii="仿宋" w:hAnsi="仿宋" w:eastAsia="仿宋" w:cs="Times New Roman"/>
                <w:color w:val="auto"/>
                <w:szCs w:val="28"/>
                <w:highlight w:val="none"/>
              </w:rPr>
              <w:drawing>
                <wp:inline distT="0" distB="0" distL="114300" distR="114300">
                  <wp:extent cx="1699260" cy="2028190"/>
                  <wp:effectExtent l="0" t="0" r="7620" b="13970"/>
                  <wp:docPr id="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3"/>
                          <pic:cNvPicPr>
                            <a:picLocks noChangeAspect="1"/>
                          </pic:cNvPicPr>
                        </pic:nvPicPr>
                        <pic:blipFill>
                          <a:blip r:embed="rId16"/>
                          <a:srcRect r="56604"/>
                          <a:stretch>
                            <a:fillRect/>
                          </a:stretch>
                        </pic:blipFill>
                        <pic:spPr>
                          <a:xfrm>
                            <a:off x="0" y="0"/>
                            <a:ext cx="1699260" cy="2028190"/>
                          </a:xfrm>
                          <a:prstGeom prst="rect">
                            <a:avLst/>
                          </a:prstGeom>
                          <a:noFill/>
                          <a:ln>
                            <a:noFill/>
                          </a:ln>
                        </pic:spPr>
                      </pic:pic>
                    </a:graphicData>
                  </a:graphic>
                </wp:inline>
              </w:drawing>
            </w:r>
            <w:r>
              <w:rPr>
                <w:rFonts w:hint="default"/>
                <w:color w:val="auto"/>
                <w:highlight w:val="none"/>
              </w:rPr>
              <w:drawing>
                <wp:inline distT="0" distB="0" distL="114300" distR="114300">
                  <wp:extent cx="1793875" cy="1616075"/>
                  <wp:effectExtent l="0" t="0" r="4445" b="1460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7"/>
                          <a:stretch>
                            <a:fillRect/>
                          </a:stretch>
                        </pic:blipFill>
                        <pic:spPr>
                          <a:xfrm>
                            <a:off x="0" y="0"/>
                            <a:ext cx="1793875" cy="1616075"/>
                          </a:xfrm>
                          <a:prstGeom prst="rect">
                            <a:avLst/>
                          </a:prstGeom>
                          <a:noFill/>
                          <a:ln>
                            <a:noFill/>
                          </a:ln>
                        </pic:spPr>
                      </pic:pic>
                    </a:graphicData>
                  </a:graphic>
                </wp:inline>
              </w:drawing>
            </w:r>
          </w:p>
          <w:p w14:paraId="20150032">
            <w:pPr>
              <w:keepNext w:val="0"/>
              <w:keepLines w:val="0"/>
              <w:pageBreakBefore w:val="0"/>
              <w:suppressLineNumbers w:val="0"/>
              <w:kinsoku/>
              <w:wordWrap/>
              <w:overflowPunct/>
              <w:topLinePunct w:val="0"/>
              <w:autoSpaceDE/>
              <w:autoSpaceDN/>
              <w:bidi w:val="0"/>
              <w:adjustRightInd/>
              <w:spacing w:before="0" w:beforeAutospacing="0" w:after="0" w:afterAutospacing="0" w:line="360" w:lineRule="auto"/>
              <w:ind w:left="0" w:right="0" w:firstLine="0" w:firstLineChars="0"/>
              <w:jc w:val="left"/>
              <w:textAlignment w:val="auto"/>
              <w:rPr>
                <w:rFonts w:hint="eastAsia" w:ascii="宋体" w:hAnsi="宋体" w:cs="宋体"/>
                <w:color w:val="auto"/>
                <w:sz w:val="24"/>
                <w:szCs w:val="24"/>
                <w:highlight w:val="none"/>
              </w:rPr>
            </w:pPr>
          </w:p>
          <w:p w14:paraId="4EF9FBBF">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firstLine="0" w:firstLineChars="0"/>
              <w:jc w:val="left"/>
              <w:textAlignment w:val="auto"/>
              <w:rPr>
                <w:rFonts w:hint="eastAsia" w:ascii="宋体" w:hAnsi="宋体" w:cs="宋体"/>
                <w:b/>
                <w:bCs/>
                <w:color w:val="auto"/>
                <w:kern w:val="0"/>
                <w:sz w:val="24"/>
                <w:szCs w:val="24"/>
                <w:highlight w:val="none"/>
              </w:rPr>
            </w:pPr>
            <w:r>
              <w:rPr>
                <w:rFonts w:hint="eastAsia" w:ascii="宋体" w:hAnsi="宋体" w:cs="宋体"/>
                <w:b/>
                <w:bCs/>
                <w:color w:val="auto"/>
                <w:sz w:val="24"/>
                <w:szCs w:val="24"/>
                <w:highlight w:val="none"/>
                <w:lang w:val="en-US" w:eastAsia="zh-CN"/>
              </w:rPr>
              <w:t>9.3</w:t>
            </w:r>
            <w:r>
              <w:rPr>
                <w:rFonts w:hint="eastAsia" w:ascii="宋体" w:hAnsi="宋体" w:cs="宋体"/>
                <w:b/>
                <w:bCs/>
                <w:color w:val="auto"/>
                <w:sz w:val="24"/>
                <w:szCs w:val="24"/>
                <w:highlight w:val="none"/>
              </w:rPr>
              <w:t>序号</w:t>
            </w:r>
            <w:r>
              <w:rPr>
                <w:rFonts w:hint="eastAsia" w:ascii="宋体" w:hAnsi="宋体" w:cs="宋体"/>
                <w:b/>
                <w:bCs/>
                <w:color w:val="auto"/>
                <w:sz w:val="24"/>
                <w:szCs w:val="24"/>
                <w:highlight w:val="none"/>
                <w:lang w:val="en-US" w:eastAsia="zh-CN"/>
              </w:rPr>
              <w:t>3</w:t>
            </w:r>
            <w:r>
              <w:rPr>
                <w:rFonts w:hint="eastAsia" w:ascii="宋体" w:hAnsi="宋体" w:cs="宋体"/>
                <w:b/>
                <w:bCs/>
                <w:color w:val="auto"/>
                <w:sz w:val="24"/>
                <w:szCs w:val="24"/>
                <w:highlight w:val="none"/>
              </w:rPr>
              <w:t>：</w:t>
            </w:r>
            <w:r>
              <w:rPr>
                <w:rFonts w:hint="eastAsia" w:ascii="宋体" w:hAnsi="宋体" w:cs="宋体"/>
                <w:b/>
                <w:bCs/>
                <w:color w:val="auto"/>
                <w:kern w:val="0"/>
                <w:sz w:val="24"/>
                <w:szCs w:val="24"/>
                <w:highlight w:val="none"/>
              </w:rPr>
              <w:t>爬梯踏板1个：床梯踏板350*130*18mm，钢板厚≥1.5mm(防滑条纹)，踏板整体一次成型</w:t>
            </w:r>
            <w:r>
              <w:rPr>
                <w:rFonts w:hint="eastAsia" w:ascii="宋体" w:hAnsi="宋体" w:eastAsia="宋体" w:cs="宋体"/>
                <w:b/>
                <w:bCs/>
                <w:color w:val="auto"/>
                <w:kern w:val="0"/>
                <w:sz w:val="24"/>
                <w:szCs w:val="24"/>
                <w:highlight w:val="none"/>
                <w:lang w:val="en-US" w:eastAsia="zh-CN" w:bidi="ar-SA"/>
              </w:rPr>
              <w:t xml:space="preserve">。 </w:t>
            </w:r>
          </w:p>
          <w:p w14:paraId="038CEAE1">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firstLine="0" w:firstLineChars="0"/>
              <w:jc w:val="left"/>
              <w:textAlignment w:val="auto"/>
              <w:rPr>
                <w:rFonts w:hint="eastAsia" w:ascii="宋体" w:hAnsi="宋体" w:cs="宋体"/>
                <w:b/>
                <w:bCs/>
                <w:color w:val="auto"/>
                <w:kern w:val="0"/>
                <w:sz w:val="24"/>
                <w:szCs w:val="24"/>
                <w:highlight w:val="none"/>
              </w:rPr>
            </w:pPr>
            <w:r>
              <w:rPr>
                <w:rFonts w:hint="eastAsia" w:ascii="宋体" w:hAnsi="宋体" w:cs="宋体"/>
                <w:b/>
                <w:bCs/>
                <w:color w:val="auto"/>
                <w:sz w:val="24"/>
                <w:szCs w:val="24"/>
                <w:highlight w:val="none"/>
                <w:lang w:val="en-US" w:eastAsia="zh-CN"/>
              </w:rPr>
              <w:t>9.4</w:t>
            </w:r>
            <w:r>
              <w:rPr>
                <w:rFonts w:hint="eastAsia" w:ascii="宋体" w:hAnsi="宋体" w:cs="宋体"/>
                <w:b/>
                <w:bCs/>
                <w:color w:val="auto"/>
                <w:sz w:val="24"/>
                <w:szCs w:val="24"/>
                <w:highlight w:val="none"/>
              </w:rPr>
              <w:t>序号</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w:t>
            </w:r>
            <w:r>
              <w:rPr>
                <w:rFonts w:hint="eastAsia" w:ascii="宋体" w:hAnsi="宋体" w:eastAsia="宋体" w:cs="宋体"/>
                <w:b/>
                <w:bCs/>
                <w:color w:val="auto"/>
                <w:kern w:val="0"/>
                <w:sz w:val="24"/>
                <w:szCs w:val="24"/>
                <w:highlight w:val="none"/>
                <w:lang w:eastAsia="zh-CN"/>
              </w:rPr>
              <w:t>组合家具柜门的</w:t>
            </w:r>
            <w:r>
              <w:rPr>
                <w:rFonts w:hint="eastAsia" w:ascii="宋体" w:hAnsi="宋体" w:eastAsia="宋体" w:cs="宋体"/>
                <w:b/>
                <w:bCs/>
                <w:color w:val="auto"/>
                <w:kern w:val="0"/>
                <w:sz w:val="24"/>
                <w:szCs w:val="24"/>
                <w:highlight w:val="none"/>
              </w:rPr>
              <w:t>合页1个，合页采用隐藏式，不凸出板面，门板正面无开槽，可180打开，合页总长95mm，宽46mm</w:t>
            </w:r>
            <w:r>
              <w:rPr>
                <w:rFonts w:hint="eastAsia" w:ascii="宋体" w:hAnsi="宋体" w:cs="宋体"/>
                <w:b/>
                <w:bCs/>
                <w:color w:val="auto"/>
                <w:kern w:val="0"/>
                <w:sz w:val="24"/>
                <w:szCs w:val="24"/>
                <w:highlight w:val="none"/>
                <w:lang w:eastAsia="zh-CN"/>
              </w:rPr>
              <w:t>。</w:t>
            </w:r>
          </w:p>
          <w:p w14:paraId="51987A3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9.5</w:t>
            </w:r>
            <w:r>
              <w:rPr>
                <w:rFonts w:hint="eastAsia" w:ascii="宋体" w:hAnsi="宋体" w:cs="宋体"/>
                <w:b/>
                <w:bCs/>
                <w:color w:val="auto"/>
                <w:sz w:val="24"/>
                <w:szCs w:val="24"/>
                <w:highlight w:val="none"/>
              </w:rPr>
              <w:t>序号</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：床长横梁小样(未喷漆1根)长约600mm：70×30mm方管，带一次性冲压卡槽，插放卡片规格</w:t>
            </w:r>
            <w:r>
              <w:rPr>
                <w:rFonts w:hint="eastAsia" w:ascii="宋体" w:hAnsi="宋体" w:cs="宋体"/>
                <w:b/>
                <w:bCs/>
                <w:color w:val="auto"/>
                <w:sz w:val="24"/>
                <w:szCs w:val="24"/>
                <w:highlight w:val="none"/>
                <w:lang w:val="en-US" w:eastAsia="zh-CN"/>
              </w:rPr>
              <w:t>大于等于</w:t>
            </w:r>
            <w:r>
              <w:rPr>
                <w:rFonts w:hint="eastAsia" w:ascii="宋体" w:hAnsi="宋体" w:cs="宋体"/>
                <w:b/>
                <w:bCs/>
                <w:color w:val="auto"/>
                <w:sz w:val="24"/>
                <w:szCs w:val="24"/>
                <w:highlight w:val="none"/>
              </w:rPr>
              <w:t>90×40mm。</w:t>
            </w:r>
          </w:p>
        </w:tc>
      </w:tr>
      <w:tr w14:paraId="505B3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bottom w:val="single" w:color="auto" w:sz="4" w:space="0"/>
            </w:tcBorders>
            <w:noWrap w:val="0"/>
            <w:vAlign w:val="center"/>
          </w:tcPr>
          <w:p w14:paraId="515E3C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tcBorders>
              <w:bottom w:val="single" w:color="auto" w:sz="4" w:space="0"/>
            </w:tcBorders>
            <w:noWrap w:val="0"/>
            <w:vAlign w:val="center"/>
          </w:tcPr>
          <w:p w14:paraId="2FB057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tcBorders>
              <w:bottom w:val="single" w:color="auto" w:sz="4" w:space="0"/>
            </w:tcBorders>
            <w:noWrap w:val="0"/>
            <w:vAlign w:val="center"/>
          </w:tcPr>
          <w:p w14:paraId="61216C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14" w:type="dxa"/>
            <w:tcBorders>
              <w:bottom w:val="single" w:color="auto" w:sz="4" w:space="0"/>
            </w:tcBorders>
            <w:noWrap w:val="0"/>
            <w:vAlign w:val="center"/>
          </w:tcPr>
          <w:p w14:paraId="0B1598B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rPr>
              <w:t>★</w:t>
            </w:r>
            <w:r>
              <w:rPr>
                <w:rFonts w:hint="eastAsia" w:ascii="宋体" w:hAnsi="宋体"/>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w:t>
            </w:r>
            <w:r>
              <w:rPr>
                <w:rFonts w:hint="eastAsia" w:ascii="宋体" w:hAnsi="宋体"/>
                <w:b/>
                <w:color w:val="auto"/>
                <w:sz w:val="24"/>
                <w:highlight w:val="none"/>
                <w:u w:val="single"/>
              </w:rPr>
              <w:t>。样品需在投标截止时间前，送至</w:t>
            </w:r>
            <w:r>
              <w:rPr>
                <w:rFonts w:hint="eastAsia" w:ascii="宋体" w:hAnsi="宋体"/>
                <w:b/>
                <w:color w:val="auto"/>
                <w:sz w:val="24"/>
                <w:highlight w:val="none"/>
                <w:u w:val="single"/>
              </w:rPr>
              <w:t>厦门市湖里区云顶北路842号厦门市政务服务中心负一楼样品间（接收人：卢</w:t>
            </w:r>
            <w:r>
              <w:rPr>
                <w:rFonts w:hint="eastAsia" w:ascii="宋体" w:hAnsi="宋体"/>
                <w:b/>
                <w:color w:val="auto"/>
                <w:sz w:val="24"/>
                <w:highlight w:val="none"/>
                <w:u w:val="single"/>
                <w:lang w:val="en-US" w:eastAsia="zh-CN"/>
              </w:rPr>
              <w:t>小姐</w:t>
            </w:r>
            <w:r>
              <w:rPr>
                <w:rFonts w:hint="eastAsia" w:ascii="宋体" w:hAnsi="宋体"/>
                <w:b/>
                <w:color w:val="auto"/>
                <w:sz w:val="24"/>
                <w:highlight w:val="none"/>
                <w:u w:val="single"/>
              </w:rPr>
              <w:t>、熊</w:t>
            </w:r>
            <w:r>
              <w:rPr>
                <w:rFonts w:hint="eastAsia" w:ascii="宋体" w:hAnsi="宋体"/>
                <w:b/>
                <w:color w:val="auto"/>
                <w:sz w:val="24"/>
                <w:highlight w:val="none"/>
                <w:u w:val="single"/>
                <w:lang w:val="en-US" w:eastAsia="zh-CN"/>
              </w:rPr>
              <w:t>小姐，</w:t>
            </w:r>
            <w:r>
              <w:rPr>
                <w:rFonts w:hint="eastAsia" w:ascii="宋体" w:hAnsi="宋体"/>
                <w:b/>
                <w:color w:val="auto"/>
                <w:sz w:val="24"/>
                <w:highlight w:val="none"/>
                <w:u w:val="single"/>
              </w:rPr>
              <w:t>0592-5701518、5769394</w:t>
            </w:r>
            <w:r>
              <w:rPr>
                <w:rFonts w:hint="eastAsia" w:ascii="宋体" w:hAnsi="宋体"/>
                <w:b/>
                <w:color w:val="auto"/>
                <w:sz w:val="24"/>
                <w:highlight w:val="none"/>
                <w:u w:val="single"/>
              </w:rPr>
              <w:t>）。</w:t>
            </w:r>
          </w:p>
        </w:tc>
      </w:tr>
      <w:tr w14:paraId="7998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624642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noWrap w:val="0"/>
            <w:vAlign w:val="center"/>
          </w:tcPr>
          <w:p w14:paraId="196682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noWrap w:val="0"/>
            <w:vAlign w:val="center"/>
          </w:tcPr>
          <w:p w14:paraId="114DE2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五</w:t>
            </w:r>
          </w:p>
        </w:tc>
        <w:tc>
          <w:tcPr>
            <w:tcW w:w="7314" w:type="dxa"/>
            <w:noWrap w:val="0"/>
            <w:vAlign w:val="center"/>
          </w:tcPr>
          <w:p w14:paraId="0EA2C0D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5.投标人承诺中标后生产前，向使用单位确定所供货物的相关事项，经使用单位书面确认</w:t>
            </w:r>
            <w:r>
              <w:rPr>
                <w:rFonts w:hint="eastAsia" w:ascii="宋体" w:hAnsi="宋体"/>
                <w:b/>
                <w:color w:val="auto"/>
                <w:sz w:val="24"/>
                <w:szCs w:val="24"/>
                <w:highlight w:val="none"/>
                <w:lang w:val="en-US" w:eastAsia="zh-CN"/>
              </w:rPr>
              <w:t>产品尺寸及产品数量</w:t>
            </w:r>
            <w:r>
              <w:rPr>
                <w:rFonts w:hint="eastAsia" w:ascii="宋体" w:hAnsi="宋体"/>
                <w:b/>
                <w:color w:val="auto"/>
                <w:sz w:val="24"/>
                <w:szCs w:val="24"/>
                <w:highlight w:val="none"/>
              </w:rPr>
              <w:t>是否增减后方可投入生产。否则，由此产生的一切后果由中标供应商负责。</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tc>
      </w:tr>
      <w:tr w14:paraId="0B558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1D5C50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noWrap w:val="0"/>
            <w:vAlign w:val="center"/>
          </w:tcPr>
          <w:p w14:paraId="242F04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noWrap w:val="0"/>
            <w:vAlign w:val="center"/>
          </w:tcPr>
          <w:p w14:paraId="43ADFACD">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p>
        </w:tc>
        <w:tc>
          <w:tcPr>
            <w:tcW w:w="7314" w:type="dxa"/>
            <w:noWrap w:val="0"/>
            <w:vAlign w:val="center"/>
          </w:tcPr>
          <w:p w14:paraId="3F0B4D2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9.投标人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tc>
      </w:tr>
      <w:tr w14:paraId="1A867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38F4BD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noWrap w:val="0"/>
            <w:vAlign w:val="center"/>
          </w:tcPr>
          <w:p w14:paraId="4AEB86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noWrap w:val="0"/>
            <w:vAlign w:val="center"/>
          </w:tcPr>
          <w:p w14:paraId="506A4BD5">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p>
        </w:tc>
        <w:tc>
          <w:tcPr>
            <w:tcW w:w="7314" w:type="dxa"/>
            <w:noWrap w:val="0"/>
            <w:vAlign w:val="center"/>
          </w:tcPr>
          <w:p w14:paraId="76340E0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11.投标人承诺一旦中标，在保证按招标文件中要求提供的产品数量进行供货外，还应保证能够免费提供足够的样品供使用单位邀请相关部门对其在封闭式的环境中进行开放性的检测</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如经检测</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货物或样品的</w:t>
            </w:r>
            <w:r>
              <w:rPr>
                <w:rFonts w:hint="eastAsia" w:ascii="宋体" w:hAnsi="宋体"/>
                <w:b/>
                <w:color w:val="auto"/>
                <w:sz w:val="24"/>
                <w:szCs w:val="24"/>
                <w:highlight w:val="none"/>
              </w:rPr>
              <w:t>环保等指标达不到国家以及招标文件中的要求，投标人应按中标价的2倍金额赔偿给采购单位</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对学生身体健康产生负面影响或造成其他不良后果的，投标人还应赔偿相应损失。投标人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tc>
      </w:tr>
      <w:tr w14:paraId="561E4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63F4EA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noWrap w:val="0"/>
            <w:vAlign w:val="center"/>
          </w:tcPr>
          <w:p w14:paraId="2D9C664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noWrap w:val="0"/>
            <w:vAlign w:val="center"/>
          </w:tcPr>
          <w:p w14:paraId="60AEA4C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六</w:t>
            </w:r>
          </w:p>
        </w:tc>
        <w:tc>
          <w:tcPr>
            <w:tcW w:w="7314" w:type="dxa"/>
            <w:noWrap w:val="0"/>
            <w:vAlign w:val="center"/>
          </w:tcPr>
          <w:p w14:paraId="152D261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tc>
      </w:tr>
      <w:tr w14:paraId="411F2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1FEB95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noWrap w:val="0"/>
            <w:vAlign w:val="center"/>
          </w:tcPr>
          <w:p w14:paraId="540073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noWrap w:val="0"/>
            <w:vAlign w:val="center"/>
          </w:tcPr>
          <w:p w14:paraId="323A4D9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七</w:t>
            </w:r>
          </w:p>
        </w:tc>
        <w:tc>
          <w:tcPr>
            <w:tcW w:w="7314" w:type="dxa"/>
            <w:noWrap w:val="0"/>
            <w:vAlign w:val="center"/>
          </w:tcPr>
          <w:p w14:paraId="636EE9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1.投标人须以人民币报价且总报价应含货物费、运至采购单位指定地点的运输费、保险费和伴随服务费（包括产品检验检测）、安装调试（包括安装所需的辅材、配件等）费用、税收、招标代理服务费及售后服务等一切费用，报价方式为指定目的地价。采购单位不接受有选择的报价。</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tc>
      </w:tr>
      <w:tr w14:paraId="124F3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0C67A9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noWrap w:val="0"/>
            <w:vAlign w:val="center"/>
          </w:tcPr>
          <w:p w14:paraId="2C535E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noWrap w:val="0"/>
            <w:vAlign w:val="center"/>
          </w:tcPr>
          <w:p w14:paraId="397D2F24">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p>
        </w:tc>
        <w:tc>
          <w:tcPr>
            <w:tcW w:w="7314" w:type="dxa"/>
            <w:noWrap w:val="0"/>
            <w:vAlign w:val="center"/>
          </w:tcPr>
          <w:p w14:paraId="7A8B48F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2.本项目采购预算为人民币713.6888万元，</w:t>
            </w:r>
            <w:r>
              <w:rPr>
                <w:rFonts w:hint="eastAsia" w:ascii="宋体" w:hAnsi="宋体" w:cs="宋体"/>
                <w:b/>
                <w:color w:val="auto"/>
                <w:spacing w:val="4"/>
                <w:sz w:val="24"/>
                <w:szCs w:val="24"/>
                <w:highlight w:val="none"/>
              </w:rPr>
              <w:t>采购预算为各合同包总报价的最高限价，</w:t>
            </w:r>
            <w:r>
              <w:rPr>
                <w:rFonts w:hint="eastAsia" w:ascii="宋体" w:hAnsi="宋体"/>
                <w:b/>
                <w:color w:val="auto"/>
                <w:sz w:val="24"/>
                <w:szCs w:val="24"/>
                <w:highlight w:val="none"/>
              </w:rPr>
              <w:t>投标人各合同包总报价超过采购预算的属无效投标。</w:t>
            </w:r>
          </w:p>
        </w:tc>
      </w:tr>
      <w:tr w14:paraId="25F14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14:paraId="2C4615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noWrap w:val="0"/>
            <w:vAlign w:val="center"/>
          </w:tcPr>
          <w:p w14:paraId="6C5690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noWrap w:val="0"/>
            <w:vAlign w:val="center"/>
          </w:tcPr>
          <w:p w14:paraId="6DA2BF1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w:t>
            </w:r>
          </w:p>
        </w:tc>
        <w:tc>
          <w:tcPr>
            <w:tcW w:w="7314" w:type="dxa"/>
            <w:noWrap w:val="0"/>
            <w:vAlign w:val="center"/>
          </w:tcPr>
          <w:p w14:paraId="7D5B235B">
            <w:pPr>
              <w:keepNext w:val="0"/>
              <w:keepLines w:val="0"/>
              <w:suppressLineNumbers w:val="0"/>
              <w:spacing w:before="0" w:beforeAutospacing="0" w:after="0" w:afterAutospacing="0" w:line="360" w:lineRule="auto"/>
              <w:ind w:left="0" w:right="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1.交付使用期：合同签订</w:t>
            </w:r>
            <w:r>
              <w:rPr>
                <w:rFonts w:hint="eastAsia" w:ascii="宋体" w:hAnsi="宋体"/>
                <w:b/>
                <w:color w:val="auto"/>
                <w:sz w:val="24"/>
                <w:szCs w:val="24"/>
                <w:highlight w:val="none"/>
                <w:lang w:val="en-US" w:eastAsia="zh-CN"/>
              </w:rPr>
              <w:t>后，收到使用单位通知</w:t>
            </w:r>
            <w:r>
              <w:rPr>
                <w:rFonts w:hint="eastAsia" w:ascii="宋体" w:hAnsi="宋体"/>
                <w:b/>
                <w:color w:val="auto"/>
                <w:sz w:val="24"/>
                <w:szCs w:val="24"/>
                <w:highlight w:val="none"/>
              </w:rPr>
              <w:t>之日起30个日历日内</w:t>
            </w:r>
            <w:r>
              <w:rPr>
                <w:rFonts w:hint="eastAsia" w:ascii="宋体" w:hAnsi="宋体"/>
                <w:b/>
                <w:bCs/>
                <w:color w:val="auto"/>
                <w:sz w:val="24"/>
                <w:szCs w:val="24"/>
                <w:highlight w:val="none"/>
              </w:rPr>
              <w:t>交货、安装调试完成并提交使用单位验收。</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tc>
      </w:tr>
      <w:tr w14:paraId="37007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tcBorders>
              <w:bottom w:val="single" w:color="auto" w:sz="4" w:space="0"/>
            </w:tcBorders>
            <w:noWrap w:val="0"/>
            <w:vAlign w:val="center"/>
          </w:tcPr>
          <w:p w14:paraId="54C481C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14" w:type="dxa"/>
            <w:tcBorders>
              <w:bottom w:val="single" w:color="auto" w:sz="4" w:space="0"/>
            </w:tcBorders>
            <w:noWrap w:val="0"/>
            <w:vAlign w:val="center"/>
          </w:tcPr>
          <w:p w14:paraId="742F4D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51" w:type="dxa"/>
            <w:tcBorders>
              <w:bottom w:val="single" w:color="auto" w:sz="4" w:space="0"/>
            </w:tcBorders>
            <w:noWrap w:val="0"/>
            <w:vAlign w:val="center"/>
          </w:tcPr>
          <w:p w14:paraId="334D1472">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p>
        </w:tc>
        <w:tc>
          <w:tcPr>
            <w:tcW w:w="7314" w:type="dxa"/>
            <w:tcBorders>
              <w:bottom w:val="single" w:color="auto" w:sz="4" w:space="0"/>
            </w:tcBorders>
            <w:noWrap w:val="0"/>
            <w:vAlign w:val="center"/>
          </w:tcPr>
          <w:p w14:paraId="454CF396">
            <w:pPr>
              <w:keepNext w:val="0"/>
              <w:keepLines w:val="0"/>
              <w:suppressLineNumbers w:val="0"/>
              <w:spacing w:before="0" w:beforeAutospacing="0" w:after="0" w:afterAutospacing="0" w:line="360" w:lineRule="auto"/>
              <w:ind w:left="0" w:right="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w:t>
            </w:r>
            <w:r>
              <w:rPr>
                <w:rFonts w:hint="eastAsia" w:ascii="宋体" w:hAnsi="宋体"/>
                <w:b/>
                <w:bCs w:val="0"/>
                <w:color w:val="auto"/>
                <w:sz w:val="24"/>
                <w:szCs w:val="24"/>
                <w:highlight w:val="none"/>
              </w:rPr>
              <w:t>8</w:t>
            </w:r>
            <w:r>
              <w:rPr>
                <w:rFonts w:hint="eastAsia" w:ascii="宋体" w:hAnsi="宋体"/>
                <w:b/>
                <w:color w:val="auto"/>
                <w:sz w:val="24"/>
                <w:szCs w:val="24"/>
                <w:highlight w:val="none"/>
              </w:rPr>
              <w:t>．投标人承诺一旦中标，如</w:t>
            </w:r>
            <w:r>
              <w:rPr>
                <w:rFonts w:hint="eastAsia" w:ascii="宋体" w:hAnsi="宋体"/>
                <w:b/>
                <w:bCs w:val="0"/>
                <w:color w:val="auto"/>
                <w:sz w:val="24"/>
                <w:szCs w:val="24"/>
                <w:highlight w:val="none"/>
              </w:rPr>
              <w:t>采购单位</w:t>
            </w:r>
            <w:r>
              <w:rPr>
                <w:rFonts w:hint="eastAsia" w:ascii="宋体" w:hAnsi="宋体"/>
                <w:b/>
                <w:bCs w:val="0"/>
                <w:color w:val="auto"/>
                <w:sz w:val="24"/>
                <w:szCs w:val="24"/>
                <w:highlight w:val="none"/>
                <w:lang w:eastAsia="zh-CN"/>
              </w:rPr>
              <w:t>（</w:t>
            </w:r>
            <w:r>
              <w:rPr>
                <w:rFonts w:hint="eastAsia" w:ascii="宋体" w:hAnsi="宋体"/>
                <w:b/>
                <w:bCs w:val="0"/>
                <w:color w:val="auto"/>
                <w:sz w:val="24"/>
                <w:szCs w:val="24"/>
                <w:highlight w:val="none"/>
                <w:lang w:val="en-US" w:eastAsia="zh-CN"/>
              </w:rPr>
              <w:t>或使用单位）</w:t>
            </w:r>
            <w:r>
              <w:rPr>
                <w:rFonts w:hint="eastAsia" w:ascii="宋体" w:hAnsi="宋体"/>
                <w:b/>
                <w:bCs w:val="0"/>
                <w:color w:val="auto"/>
                <w:sz w:val="24"/>
                <w:szCs w:val="24"/>
                <w:highlight w:val="none"/>
              </w:rPr>
              <w:t>对采购数量有所调整，将按中标单价调整合同总价，中标供应商不得有异议。如款式及</w:t>
            </w:r>
            <w:r>
              <w:rPr>
                <w:rFonts w:hint="eastAsia" w:ascii="宋体" w:hAnsi="宋体"/>
                <w:b/>
                <w:bCs w:val="0"/>
                <w:color w:val="auto"/>
                <w:sz w:val="24"/>
                <w:szCs w:val="24"/>
                <w:highlight w:val="none"/>
                <w:lang w:val="en-US" w:eastAsia="zh-CN"/>
              </w:rPr>
              <w:t>尺寸</w:t>
            </w:r>
            <w:r>
              <w:rPr>
                <w:rFonts w:hint="eastAsia" w:ascii="宋体" w:hAnsi="宋体"/>
                <w:b/>
                <w:bCs w:val="0"/>
                <w:color w:val="auto"/>
                <w:sz w:val="24"/>
                <w:szCs w:val="24"/>
                <w:highlight w:val="none"/>
              </w:rPr>
              <w:t>有所变动必须经采购单位书面确认，涉及单价变动的以中标单价为基准，由采购单位</w:t>
            </w:r>
            <w:r>
              <w:rPr>
                <w:rFonts w:hint="eastAsia" w:ascii="宋体" w:hAnsi="宋体"/>
                <w:b/>
                <w:bCs w:val="0"/>
                <w:color w:val="auto"/>
                <w:sz w:val="24"/>
                <w:szCs w:val="24"/>
                <w:highlight w:val="none"/>
                <w:lang w:eastAsia="zh-CN"/>
              </w:rPr>
              <w:t>（</w:t>
            </w:r>
            <w:r>
              <w:rPr>
                <w:rFonts w:hint="eastAsia" w:ascii="宋体" w:hAnsi="宋体"/>
                <w:b/>
                <w:bCs w:val="0"/>
                <w:color w:val="auto"/>
                <w:sz w:val="24"/>
                <w:szCs w:val="24"/>
                <w:highlight w:val="none"/>
                <w:lang w:val="en-US" w:eastAsia="zh-CN"/>
              </w:rPr>
              <w:t>或使用单位）</w:t>
            </w:r>
            <w:r>
              <w:rPr>
                <w:rFonts w:hint="eastAsia" w:ascii="宋体" w:hAnsi="宋体"/>
                <w:b/>
                <w:bCs w:val="0"/>
                <w:color w:val="auto"/>
                <w:sz w:val="24"/>
                <w:szCs w:val="24"/>
                <w:highlight w:val="none"/>
              </w:rPr>
              <w:t>和中标供应商协商确定。</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tc>
      </w:tr>
    </w:tbl>
    <w:p w14:paraId="10A2F53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63E94966">
      <w:pPr>
        <w:spacing w:line="360" w:lineRule="auto"/>
        <w:jc w:val="center"/>
        <w:rPr>
          <w:rFonts w:hint="eastAsia" w:ascii="宋体" w:hAnsi="宋体" w:eastAsia="宋体" w:cs="宋体"/>
          <w:color w:val="auto"/>
          <w:sz w:val="32"/>
          <w:szCs w:val="32"/>
          <w:highlight w:val="none"/>
        </w:rPr>
      </w:pPr>
    </w:p>
    <w:p w14:paraId="4E205195">
      <w:pPr>
        <w:spacing w:line="360" w:lineRule="auto"/>
        <w:jc w:val="center"/>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2"/>
        <w:tblW w:w="8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6"/>
      </w:tblGrid>
      <w:tr w14:paraId="0688D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336" w:type="dxa"/>
            <w:tcBorders>
              <w:top w:val="single" w:color="auto" w:sz="4" w:space="0"/>
              <w:left w:val="single" w:color="auto" w:sz="4" w:space="0"/>
              <w:bottom w:val="single" w:color="auto" w:sz="4" w:space="0"/>
              <w:right w:val="single" w:color="auto" w:sz="4" w:space="0"/>
            </w:tcBorders>
            <w:noWrap w:val="0"/>
            <w:vAlign w:val="top"/>
          </w:tcPr>
          <w:p w14:paraId="229C600B">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3BED0011">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125E1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6" w:type="dxa"/>
            <w:tcBorders>
              <w:top w:val="single" w:color="auto" w:sz="4" w:space="0"/>
              <w:left w:val="single" w:color="auto" w:sz="4" w:space="0"/>
              <w:bottom w:val="single" w:color="auto" w:sz="4" w:space="0"/>
              <w:right w:val="single" w:color="auto" w:sz="4" w:space="0"/>
            </w:tcBorders>
            <w:noWrap w:val="0"/>
            <w:vAlign w:val="top"/>
          </w:tcPr>
          <w:p w14:paraId="5D2187BF">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3E246AFC">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33088557">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116AAF89">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7AA12B86">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534B7D7C">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695AE525">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5EC411DF">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2B4191C8">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、关于同一品牌产品投标的相关规定</w:t>
            </w:r>
          </w:p>
          <w:p w14:paraId="5877B1DC">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4E1C55BE">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190B0BD6">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05414F42">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4D265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6" w:type="dxa"/>
            <w:tcBorders>
              <w:top w:val="single" w:color="auto" w:sz="4" w:space="0"/>
              <w:left w:val="single" w:color="auto" w:sz="4" w:space="0"/>
              <w:bottom w:val="single" w:color="auto" w:sz="4" w:space="0"/>
              <w:right w:val="single" w:color="auto" w:sz="4" w:space="0"/>
            </w:tcBorders>
            <w:noWrap w:val="0"/>
            <w:vAlign w:val="top"/>
          </w:tcPr>
          <w:p w14:paraId="5C889B13">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2B8BF4DA">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073772A7">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70B05727">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12477644">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1C1BA2D2">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4522676D">
      <w:pPr>
        <w:spacing w:line="24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56284597">
      <w:pPr>
        <w:tabs>
          <w:tab w:val="left" w:pos="-1080"/>
          <w:tab w:val="left" w:pos="180"/>
          <w:tab w:val="left" w:pos="1080"/>
        </w:tabs>
        <w:spacing w:line="360" w:lineRule="auto"/>
        <w:rPr>
          <w:color w:val="auto"/>
          <w:highlight w:val="none"/>
        </w:rPr>
      </w:pPr>
      <w:r>
        <w:rPr>
          <w:rFonts w:hint="eastAsia" w:ascii="宋体" w:hAnsi="宋体" w:eastAsia="宋体" w:cs="宋体"/>
          <w:b/>
          <w:color w:val="auto"/>
          <w:sz w:val="24"/>
          <w:szCs w:val="24"/>
          <w:highlight w:val="none"/>
        </w:rPr>
        <w:t>附件：评标标准、权重</w:t>
      </w:r>
    </w:p>
    <w:p w14:paraId="7705DF1A">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技术评分(F1)：按</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分评分法，技术评分考虑下列因素：</w:t>
      </w:r>
    </w:p>
    <w:tbl>
      <w:tblPr>
        <w:tblStyle w:val="12"/>
        <w:tblW w:w="9431" w:type="dxa"/>
        <w:jc w:val="center"/>
        <w:tblLayout w:type="fixed"/>
        <w:tblCellMar>
          <w:top w:w="0" w:type="dxa"/>
          <w:left w:w="108" w:type="dxa"/>
          <w:bottom w:w="0" w:type="dxa"/>
          <w:right w:w="108" w:type="dxa"/>
        </w:tblCellMar>
      </w:tblPr>
      <w:tblGrid>
        <w:gridCol w:w="727"/>
        <w:gridCol w:w="7812"/>
        <w:gridCol w:w="892"/>
      </w:tblGrid>
      <w:tr w14:paraId="215D9308">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0291773C">
            <w:pPr>
              <w:keepNext w:val="0"/>
              <w:keepLines w:val="0"/>
              <w:suppressLineNumbers w:val="0"/>
              <w:spacing w:before="0" w:beforeAutospacing="0" w:after="0" w:afterAutospacing="0" w:line="360" w:lineRule="auto"/>
              <w:ind w:left="0" w:right="0"/>
              <w:jc w:val="center"/>
              <w:rPr>
                <w:rFonts w:hint="eastAsia" w:ascii="宋体" w:hAnsi="宋体" w:cs="宋体"/>
                <w:b/>
                <w:bCs/>
                <w:color w:val="auto"/>
                <w:sz w:val="24"/>
                <w:highlight w:val="none"/>
              </w:rPr>
            </w:pPr>
            <w:r>
              <w:rPr>
                <w:rFonts w:hint="eastAsia" w:ascii="宋体" w:hAnsi="宋体" w:cs="宋体"/>
                <w:b/>
                <w:bCs/>
                <w:color w:val="auto"/>
                <w:sz w:val="24"/>
                <w:highlight w:val="none"/>
              </w:rPr>
              <w:t>序号</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3CDC6125">
            <w:pPr>
              <w:keepNext w:val="0"/>
              <w:keepLines w:val="0"/>
              <w:suppressLineNumbers w:val="0"/>
              <w:spacing w:before="0" w:beforeAutospacing="0" w:after="0" w:afterAutospacing="0" w:line="360" w:lineRule="auto"/>
              <w:ind w:left="0" w:right="0"/>
              <w:jc w:val="center"/>
              <w:rPr>
                <w:rFonts w:hint="eastAsia" w:ascii="宋体" w:hAnsi="宋体" w:cs="宋体"/>
                <w:b/>
                <w:bCs/>
                <w:color w:val="auto"/>
                <w:sz w:val="24"/>
                <w:highlight w:val="none"/>
              </w:rPr>
            </w:pPr>
            <w:r>
              <w:rPr>
                <w:rFonts w:hint="eastAsia" w:ascii="宋体" w:hAnsi="宋体" w:cs="宋体"/>
                <w:b/>
                <w:bCs/>
                <w:color w:val="auto"/>
                <w:sz w:val="24"/>
                <w:highlight w:val="none"/>
              </w:rPr>
              <w:t>细则内容</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3C0E3F18">
            <w:pPr>
              <w:keepNext w:val="0"/>
              <w:keepLines w:val="0"/>
              <w:suppressLineNumbers w:val="0"/>
              <w:spacing w:before="0" w:beforeAutospacing="0" w:after="0" w:afterAutospacing="0" w:line="360" w:lineRule="auto"/>
              <w:ind w:left="0" w:right="0"/>
              <w:jc w:val="center"/>
              <w:rPr>
                <w:rFonts w:hint="eastAsia" w:ascii="宋体" w:hAnsi="宋体" w:cs="宋体"/>
                <w:b/>
                <w:bCs/>
                <w:color w:val="auto"/>
                <w:sz w:val="24"/>
                <w:highlight w:val="none"/>
              </w:rPr>
            </w:pPr>
            <w:r>
              <w:rPr>
                <w:rFonts w:hint="eastAsia" w:ascii="宋体" w:hAnsi="宋体" w:cs="宋体"/>
                <w:b/>
                <w:bCs/>
                <w:color w:val="auto"/>
                <w:sz w:val="24"/>
                <w:highlight w:val="none"/>
              </w:rPr>
              <w:t>满分</w:t>
            </w:r>
          </w:p>
          <w:p w14:paraId="09223C83">
            <w:pPr>
              <w:keepNext w:val="0"/>
              <w:keepLines w:val="0"/>
              <w:suppressLineNumbers w:val="0"/>
              <w:spacing w:before="0" w:beforeAutospacing="0" w:after="0" w:afterAutospacing="0" w:line="360" w:lineRule="auto"/>
              <w:ind w:left="0" w:right="0"/>
              <w:jc w:val="center"/>
              <w:rPr>
                <w:rFonts w:hint="eastAsia" w:ascii="宋体" w:hAnsi="宋体" w:cs="宋体"/>
                <w:b/>
                <w:bCs/>
                <w:color w:val="auto"/>
                <w:sz w:val="24"/>
                <w:highlight w:val="none"/>
              </w:rPr>
            </w:pPr>
            <w:r>
              <w:rPr>
                <w:rFonts w:hint="eastAsia" w:ascii="宋体" w:hAnsi="宋体" w:cs="宋体"/>
                <w:b/>
                <w:bCs/>
                <w:color w:val="auto"/>
                <w:sz w:val="24"/>
                <w:highlight w:val="none"/>
              </w:rPr>
              <w:t>分值</w:t>
            </w:r>
          </w:p>
        </w:tc>
      </w:tr>
      <w:tr w14:paraId="591DDBF8">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10E8A0C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1-1</w:t>
            </w:r>
          </w:p>
        </w:tc>
        <w:tc>
          <w:tcPr>
            <w:tcW w:w="7812" w:type="dxa"/>
            <w:tcBorders>
              <w:top w:val="single" w:color="auto" w:sz="4" w:space="0"/>
              <w:left w:val="single" w:color="auto" w:sz="4" w:space="0"/>
              <w:bottom w:val="single" w:color="auto" w:sz="4" w:space="0"/>
              <w:right w:val="single" w:color="auto" w:sz="4" w:space="0"/>
            </w:tcBorders>
            <w:noWrap w:val="0"/>
            <w:vAlign w:val="top"/>
          </w:tcPr>
          <w:p w14:paraId="04BA5962">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Theme="majorEastAsia" w:hAnsiTheme="majorEastAsia" w:eastAsiaTheme="majorEastAsia" w:cstheme="majorEastAsia"/>
                <w:color w:val="auto"/>
                <w:sz w:val="24"/>
                <w:szCs w:val="24"/>
                <w:highlight w:val="none"/>
              </w:rPr>
              <w:t xml:space="preserve">根据投标人提供的供货组织方案（包含内容：主要供货方法、供货组织部署、供货人员方案、供货车辆方案、安装调试方案) 进行评审：方案包含以上 </w:t>
            </w:r>
            <w:r>
              <w:rPr>
                <w:rFonts w:hint="eastAsia" w:asciiTheme="majorEastAsia" w:hAnsiTheme="majorEastAsia" w:eastAsiaTheme="majorEastAsia" w:cstheme="majorEastAsia"/>
                <w:color w:val="auto"/>
                <w:sz w:val="24"/>
                <w:szCs w:val="24"/>
                <w:highlight w:val="none"/>
                <w:lang w:val="en-US" w:eastAsia="zh-CN"/>
              </w:rPr>
              <w:t>5</w:t>
            </w:r>
            <w:r>
              <w:rPr>
                <w:rFonts w:hint="eastAsia" w:asciiTheme="majorEastAsia" w:hAnsiTheme="majorEastAsia" w:eastAsiaTheme="majorEastAsia" w:cstheme="majorEastAsia"/>
                <w:color w:val="auto"/>
                <w:sz w:val="24"/>
                <w:szCs w:val="24"/>
                <w:highlight w:val="none"/>
              </w:rPr>
              <w:t xml:space="preserve"> 项内容的得 </w:t>
            </w:r>
            <w:r>
              <w:rPr>
                <w:rFonts w:hint="eastAsia" w:asciiTheme="majorEastAsia" w:hAnsiTheme="majorEastAsia" w:eastAsiaTheme="majorEastAsia" w:cstheme="majorEastAsia"/>
                <w:color w:val="auto"/>
                <w:sz w:val="24"/>
                <w:szCs w:val="24"/>
                <w:highlight w:val="none"/>
                <w:lang w:val="en-US" w:eastAsia="zh-CN"/>
              </w:rPr>
              <w:t>3</w:t>
            </w:r>
            <w:r>
              <w:rPr>
                <w:rFonts w:hint="eastAsia" w:asciiTheme="majorEastAsia" w:hAnsiTheme="majorEastAsia" w:eastAsiaTheme="majorEastAsia" w:cstheme="majorEastAsia"/>
                <w:color w:val="auto"/>
                <w:sz w:val="24"/>
                <w:szCs w:val="24"/>
                <w:highlight w:val="none"/>
              </w:rPr>
              <w:t xml:space="preserve">分；方案包含以上 </w:t>
            </w:r>
            <w:r>
              <w:rPr>
                <w:rFonts w:hint="eastAsia" w:asciiTheme="majorEastAsia" w:hAnsiTheme="majorEastAsia" w:eastAsiaTheme="majorEastAsia" w:cstheme="majorEastAsia"/>
                <w:color w:val="auto"/>
                <w:sz w:val="24"/>
                <w:szCs w:val="24"/>
                <w:highlight w:val="none"/>
                <w:lang w:eastAsia="zh-CN"/>
              </w:rPr>
              <w:t>4</w:t>
            </w:r>
            <w:r>
              <w:rPr>
                <w:rFonts w:hint="eastAsia" w:asciiTheme="majorEastAsia" w:hAnsiTheme="majorEastAsia" w:eastAsiaTheme="majorEastAsia" w:cstheme="majorEastAsia"/>
                <w:color w:val="auto"/>
                <w:sz w:val="24"/>
                <w:szCs w:val="24"/>
                <w:highlight w:val="none"/>
              </w:rPr>
              <w:t>项内容的得</w:t>
            </w:r>
            <w:r>
              <w:rPr>
                <w:rFonts w:hint="eastAsia" w:asciiTheme="majorEastAsia" w:hAnsiTheme="majorEastAsia" w:eastAsiaTheme="majorEastAsia" w:cstheme="majorEastAsia"/>
                <w:color w:val="auto"/>
                <w:sz w:val="24"/>
                <w:szCs w:val="24"/>
                <w:highlight w:val="none"/>
                <w:lang w:val="en-US" w:eastAsia="zh-CN"/>
              </w:rPr>
              <w:t>2.6</w:t>
            </w:r>
            <w:r>
              <w:rPr>
                <w:rFonts w:hint="eastAsia" w:asciiTheme="majorEastAsia" w:hAnsiTheme="majorEastAsia" w:eastAsiaTheme="majorEastAsia" w:cstheme="majorEastAsia"/>
                <w:color w:val="auto"/>
                <w:sz w:val="24"/>
                <w:szCs w:val="24"/>
                <w:highlight w:val="none"/>
                <w:lang w:val="en-US"/>
              </w:rPr>
              <w:t>分</w:t>
            </w:r>
            <w:r>
              <w:rPr>
                <w:rFonts w:hint="eastAsia" w:asciiTheme="majorEastAsia" w:hAnsiTheme="majorEastAsia" w:eastAsiaTheme="majorEastAsia" w:cstheme="majorEastAsia"/>
                <w:color w:val="auto"/>
                <w:sz w:val="24"/>
                <w:szCs w:val="24"/>
                <w:highlight w:val="none"/>
                <w:lang w:val="en-US" w:eastAsia="zh-CN"/>
              </w:rPr>
              <w:t>，其余不得分</w:t>
            </w:r>
            <w:r>
              <w:rPr>
                <w:rFonts w:hint="eastAsia" w:asciiTheme="majorEastAsia" w:hAnsiTheme="majorEastAsia" w:eastAsiaTheme="majorEastAsia" w:cstheme="majorEastAsia"/>
                <w:color w:val="auto"/>
                <w:sz w:val="24"/>
                <w:szCs w:val="24"/>
                <w:highlight w:val="none"/>
              </w:rPr>
              <w:t>；未提供方案或者方案内容与本项目无关的不得分。</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5DF0B1A9">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highlight w:val="none"/>
              </w:rPr>
            </w:pPr>
            <w:r>
              <w:rPr>
                <w:rFonts w:hint="eastAsia" w:ascii="宋体" w:hAnsi="宋体"/>
                <w:bCs/>
                <w:color w:val="auto"/>
                <w:sz w:val="24"/>
                <w:highlight w:val="none"/>
              </w:rPr>
              <w:t>3</w:t>
            </w:r>
          </w:p>
        </w:tc>
      </w:tr>
      <w:tr w14:paraId="79717A36">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151F2C2D">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highlight w:val="none"/>
              </w:rPr>
            </w:pPr>
            <w:r>
              <w:rPr>
                <w:rFonts w:hint="eastAsia" w:ascii="宋体" w:hAnsi="宋体" w:cs="宋体"/>
                <w:color w:val="auto"/>
                <w:sz w:val="24"/>
                <w:highlight w:val="none"/>
              </w:rPr>
              <w:t>1-2</w:t>
            </w:r>
          </w:p>
        </w:tc>
        <w:tc>
          <w:tcPr>
            <w:tcW w:w="7812" w:type="dxa"/>
            <w:tcBorders>
              <w:top w:val="single" w:color="auto" w:sz="4" w:space="0"/>
              <w:left w:val="single" w:color="auto" w:sz="4" w:space="0"/>
              <w:bottom w:val="single" w:color="auto" w:sz="4" w:space="0"/>
              <w:right w:val="single" w:color="auto" w:sz="4" w:space="0"/>
            </w:tcBorders>
            <w:noWrap w:val="0"/>
            <w:vAlign w:val="top"/>
          </w:tcPr>
          <w:p w14:paraId="1104D929">
            <w:pPr>
              <w:keepNext w:val="0"/>
              <w:keepLines w:val="0"/>
              <w:suppressLineNumbers w:val="0"/>
              <w:spacing w:before="0" w:beforeAutospacing="0" w:after="0" w:afterAutospacing="0" w:line="360" w:lineRule="auto"/>
              <w:ind w:left="0" w:right="0"/>
              <w:rPr>
                <w:rFonts w:hint="eastAsia" w:ascii="宋体" w:hAnsi="宋体"/>
                <w:bCs/>
                <w:color w:val="auto"/>
                <w:sz w:val="24"/>
                <w:highlight w:val="none"/>
              </w:rPr>
            </w:pPr>
            <w:r>
              <w:rPr>
                <w:rFonts w:hint="eastAsia" w:asciiTheme="majorEastAsia" w:hAnsiTheme="majorEastAsia" w:eastAsiaTheme="majorEastAsia" w:cstheme="majorEastAsia"/>
                <w:color w:val="auto"/>
                <w:sz w:val="24"/>
                <w:szCs w:val="24"/>
                <w:highlight w:val="none"/>
              </w:rPr>
              <w:t>根据投标人提供的产品生产工艺流程说明（包含内容：</w:t>
            </w:r>
            <w:r>
              <w:rPr>
                <w:rFonts w:hint="eastAsia" w:asciiTheme="majorEastAsia" w:hAnsiTheme="majorEastAsia" w:eastAsiaTheme="majorEastAsia" w:cstheme="majorEastAsia"/>
                <w:color w:val="auto"/>
                <w:sz w:val="24"/>
                <w:szCs w:val="24"/>
                <w:highlight w:val="none"/>
                <w:lang w:val="en-US" w:eastAsia="zh-CN"/>
              </w:rPr>
              <w:t>木质家具</w:t>
            </w:r>
            <w:r>
              <w:rPr>
                <w:rFonts w:hint="eastAsia" w:asciiTheme="majorEastAsia" w:hAnsiTheme="majorEastAsia" w:eastAsiaTheme="majorEastAsia" w:cstheme="majorEastAsia"/>
                <w:color w:val="auto"/>
                <w:sz w:val="24"/>
                <w:szCs w:val="24"/>
                <w:highlight w:val="none"/>
              </w:rPr>
              <w:t>工艺流程、金属家具工艺流程、</w:t>
            </w:r>
            <w:r>
              <w:rPr>
                <w:rFonts w:hint="eastAsia" w:ascii="宋体" w:hAnsi="宋体" w:cs="宋体"/>
                <w:color w:val="auto"/>
                <w:sz w:val="24"/>
                <w:highlight w:val="none"/>
              </w:rPr>
              <w:t>板式家具</w:t>
            </w:r>
            <w:r>
              <w:rPr>
                <w:rFonts w:hint="eastAsia" w:asciiTheme="majorEastAsia" w:hAnsiTheme="majorEastAsia" w:eastAsiaTheme="majorEastAsia" w:cstheme="majorEastAsia"/>
                <w:color w:val="auto"/>
                <w:sz w:val="24"/>
                <w:szCs w:val="24"/>
                <w:highlight w:val="none"/>
              </w:rPr>
              <w:t>工艺流程）进行评价：方案包含以上</w:t>
            </w:r>
            <w:r>
              <w:rPr>
                <w:rFonts w:hint="eastAsia" w:asciiTheme="majorEastAsia" w:hAnsiTheme="majorEastAsia" w:eastAsiaTheme="majorEastAsia" w:cstheme="majorEastAsia"/>
                <w:color w:val="auto"/>
                <w:sz w:val="24"/>
                <w:szCs w:val="24"/>
                <w:highlight w:val="none"/>
                <w:lang w:val="en-US" w:eastAsia="zh-CN"/>
              </w:rPr>
              <w:t>3</w:t>
            </w:r>
            <w:r>
              <w:rPr>
                <w:rFonts w:hint="eastAsia" w:asciiTheme="majorEastAsia" w:hAnsiTheme="majorEastAsia" w:eastAsiaTheme="majorEastAsia" w:cstheme="majorEastAsia"/>
                <w:color w:val="auto"/>
                <w:sz w:val="24"/>
                <w:szCs w:val="24"/>
                <w:highlight w:val="none"/>
              </w:rPr>
              <w:t xml:space="preserve"> 项内容的得 </w:t>
            </w:r>
            <w:r>
              <w:rPr>
                <w:rFonts w:hint="eastAsia" w:asciiTheme="majorEastAsia" w:hAnsiTheme="majorEastAsia" w:eastAsiaTheme="majorEastAsia" w:cstheme="majorEastAsia"/>
                <w:color w:val="auto"/>
                <w:sz w:val="24"/>
                <w:szCs w:val="24"/>
                <w:highlight w:val="none"/>
                <w:lang w:val="en-US" w:eastAsia="zh-CN"/>
              </w:rPr>
              <w:t>3</w:t>
            </w:r>
            <w:r>
              <w:rPr>
                <w:rFonts w:hint="eastAsia" w:asciiTheme="majorEastAsia" w:hAnsiTheme="majorEastAsia" w:eastAsiaTheme="majorEastAsia" w:cstheme="majorEastAsia"/>
                <w:color w:val="auto"/>
                <w:sz w:val="24"/>
                <w:szCs w:val="24"/>
                <w:highlight w:val="none"/>
              </w:rPr>
              <w:t xml:space="preserve"> 分；方案包含以上2 项内容的得</w:t>
            </w:r>
            <w:r>
              <w:rPr>
                <w:rFonts w:hint="eastAsia" w:asciiTheme="majorEastAsia" w:hAnsiTheme="majorEastAsia" w:eastAsiaTheme="majorEastAsia" w:cstheme="majorEastAsia"/>
                <w:color w:val="auto"/>
                <w:sz w:val="24"/>
                <w:szCs w:val="24"/>
                <w:highlight w:val="none"/>
                <w:lang w:val="en-US" w:eastAsia="zh-CN"/>
              </w:rPr>
              <w:t>2.6</w:t>
            </w:r>
            <w:r>
              <w:rPr>
                <w:rFonts w:hint="eastAsia" w:asciiTheme="majorEastAsia" w:hAnsiTheme="majorEastAsia" w:eastAsiaTheme="majorEastAsia" w:cstheme="majorEastAsia"/>
                <w:color w:val="auto"/>
                <w:sz w:val="24"/>
                <w:szCs w:val="24"/>
                <w:highlight w:val="none"/>
              </w:rPr>
              <w:t>分</w:t>
            </w:r>
            <w:r>
              <w:rPr>
                <w:rFonts w:hint="eastAsia" w:asciiTheme="majorEastAsia" w:hAnsiTheme="majorEastAsia" w:eastAsiaTheme="majorEastAsia" w:cstheme="majorEastAsia"/>
                <w:color w:val="auto"/>
                <w:sz w:val="24"/>
                <w:szCs w:val="24"/>
                <w:highlight w:val="none"/>
                <w:lang w:val="en-US" w:eastAsia="zh-CN"/>
              </w:rPr>
              <w:t>，其余不得分</w:t>
            </w:r>
            <w:r>
              <w:rPr>
                <w:rFonts w:hint="eastAsia" w:asciiTheme="majorEastAsia" w:hAnsiTheme="majorEastAsia" w:eastAsiaTheme="majorEastAsia" w:cstheme="majorEastAsia"/>
                <w:color w:val="auto"/>
                <w:sz w:val="24"/>
                <w:szCs w:val="24"/>
                <w:highlight w:val="none"/>
              </w:rPr>
              <w:t>；未提供方案或者方案内容与本项目无关的不得分。</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1AF0DDDB">
            <w:pPr>
              <w:keepNext w:val="0"/>
              <w:keepLines w:val="0"/>
              <w:suppressLineNumbers w:val="0"/>
              <w:spacing w:before="0" w:beforeAutospacing="0" w:after="0" w:afterAutospacing="0" w:line="360" w:lineRule="auto"/>
              <w:ind w:left="0" w:right="0"/>
              <w:jc w:val="center"/>
              <w:rPr>
                <w:rFonts w:hint="eastAsia" w:ascii="宋体" w:hAnsi="宋体"/>
                <w:bCs/>
                <w:color w:val="auto"/>
                <w:sz w:val="24"/>
                <w:highlight w:val="none"/>
              </w:rPr>
            </w:pPr>
            <w:r>
              <w:rPr>
                <w:rFonts w:hint="eastAsia" w:ascii="宋体" w:hAnsi="宋体"/>
                <w:bCs/>
                <w:color w:val="auto"/>
                <w:sz w:val="24"/>
                <w:highlight w:val="none"/>
              </w:rPr>
              <w:t>3</w:t>
            </w:r>
          </w:p>
        </w:tc>
      </w:tr>
      <w:tr w14:paraId="2F45A600">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684ECB1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1-3</w:t>
            </w:r>
          </w:p>
        </w:tc>
        <w:tc>
          <w:tcPr>
            <w:tcW w:w="7812" w:type="dxa"/>
            <w:tcBorders>
              <w:top w:val="single" w:color="auto" w:sz="4" w:space="0"/>
              <w:left w:val="single" w:color="auto" w:sz="4" w:space="0"/>
              <w:bottom w:val="single" w:color="auto" w:sz="4" w:space="0"/>
              <w:right w:val="single" w:color="auto" w:sz="4" w:space="0"/>
            </w:tcBorders>
            <w:noWrap w:val="0"/>
            <w:vAlign w:val="top"/>
          </w:tcPr>
          <w:p w14:paraId="187DDEF0">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kern w:val="0"/>
                <w:sz w:val="24"/>
                <w:highlight w:val="none"/>
              </w:rPr>
              <w:t>投标人所投公寓组合铁床,提供由第三方检测机构出具的检测报告，检测项目内容至少包含以下项目:</w:t>
            </w:r>
            <w:r>
              <w:rPr>
                <w:rFonts w:hint="eastAsia" w:ascii="宋体" w:hAnsi="宋体" w:cs="宋体"/>
                <w:color w:val="auto"/>
                <w:sz w:val="24"/>
                <w:highlight w:val="none"/>
              </w:rPr>
              <w:t>①外观性能要求（包含金属件、木制件）②理化性能要求：（包含木制件表面涂层：耐液、耐湿热、耐干热、附着力以上均达到1级；耐冷热温差符合要求；耐磨性、抗冲击以上均达到2级）③安全性能（包含结构安全）；④甲醛释放量（气候箱法）≤0.05mg/m³；⑤产品部件材质理化性能（含水率低于10%）；⑥力学性能：床铺面垂直向下静载荷试验、床铺面冲击载荷试验、踏脚板冲击试验。</w:t>
            </w:r>
          </w:p>
          <w:p w14:paraId="5CD614CD">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7D998D8D">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注</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1C1E718E">
            <w:pPr>
              <w:keepNext w:val="0"/>
              <w:keepLines w:val="0"/>
              <w:suppressLineNumbers w:val="0"/>
              <w:spacing w:before="0" w:beforeAutospacing="0" w:after="0" w:afterAutospacing="0" w:line="360" w:lineRule="auto"/>
              <w:ind w:left="0" w:right="0"/>
              <w:jc w:val="center"/>
              <w:rPr>
                <w:rFonts w:hint="eastAsia" w:ascii="宋体" w:hAnsi="宋体"/>
                <w:bCs/>
                <w:color w:val="auto"/>
                <w:sz w:val="24"/>
                <w:highlight w:val="none"/>
              </w:rPr>
            </w:pPr>
            <w:r>
              <w:rPr>
                <w:rFonts w:hint="eastAsia" w:ascii="宋体" w:hAnsi="宋体"/>
                <w:bCs/>
                <w:color w:val="auto"/>
                <w:sz w:val="24"/>
                <w:highlight w:val="none"/>
              </w:rPr>
              <w:t>3</w:t>
            </w:r>
          </w:p>
        </w:tc>
      </w:tr>
      <w:tr w14:paraId="160E8CE7">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0BA3411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1-4</w:t>
            </w:r>
          </w:p>
        </w:tc>
        <w:tc>
          <w:tcPr>
            <w:tcW w:w="7812" w:type="dxa"/>
            <w:tcBorders>
              <w:top w:val="single" w:color="auto" w:sz="4" w:space="0"/>
              <w:left w:val="single" w:color="auto" w:sz="4" w:space="0"/>
              <w:bottom w:val="single" w:color="auto" w:sz="4" w:space="0"/>
              <w:right w:val="single" w:color="auto" w:sz="4" w:space="0"/>
            </w:tcBorders>
            <w:noWrap w:val="0"/>
            <w:vAlign w:val="top"/>
          </w:tcPr>
          <w:p w14:paraId="25144D1E">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投标人所投货物所使用的三合一偏心连接件,提供由第三方检测机构出具的检测报告，检测项目内容至少包含以下项目:①三合一偏心连接件偏心体抗压强度应</w:t>
            </w:r>
            <w:r>
              <w:rPr>
                <w:rFonts w:hint="eastAsia" w:ascii="宋体" w:hAnsi="宋体" w:cs="宋体"/>
                <w:color w:val="auto"/>
                <w:sz w:val="24"/>
                <w:highlight w:val="none"/>
              </w:rPr>
              <w:t>≥</w:t>
            </w:r>
            <w:r>
              <w:rPr>
                <w:rFonts w:hint="eastAsia" w:ascii="宋体" w:hAnsi="宋体" w:cs="宋体"/>
                <w:color w:val="auto"/>
                <w:kern w:val="0"/>
                <w:sz w:val="24"/>
                <w:highlight w:val="none"/>
              </w:rPr>
              <w:t>320N；②三合一偏心连接件预埋螺母抗拉强度应</w:t>
            </w:r>
            <w:r>
              <w:rPr>
                <w:rFonts w:hint="eastAsia" w:ascii="宋体" w:hAnsi="宋体" w:cs="宋体"/>
                <w:color w:val="auto"/>
                <w:sz w:val="24"/>
                <w:highlight w:val="none"/>
              </w:rPr>
              <w:t>≥</w:t>
            </w:r>
            <w:r>
              <w:rPr>
                <w:rFonts w:hint="eastAsia" w:ascii="宋体" w:hAnsi="宋体" w:cs="宋体"/>
                <w:color w:val="auto"/>
                <w:kern w:val="0"/>
                <w:sz w:val="24"/>
                <w:highlight w:val="none"/>
              </w:rPr>
              <w:t>630N；③三合一偏心连接件中连接螺杆螺纹与预埋螺母的抗拉强度应</w:t>
            </w:r>
            <w:r>
              <w:rPr>
                <w:rFonts w:hint="eastAsia" w:ascii="宋体" w:hAnsi="宋体" w:cs="宋体"/>
                <w:color w:val="auto"/>
                <w:sz w:val="24"/>
                <w:highlight w:val="none"/>
              </w:rPr>
              <w:t>≥</w:t>
            </w:r>
            <w:r>
              <w:rPr>
                <w:rFonts w:hint="eastAsia" w:ascii="宋体" w:hAnsi="宋体" w:cs="宋体"/>
                <w:color w:val="auto"/>
                <w:kern w:val="0"/>
                <w:sz w:val="24"/>
                <w:highlight w:val="none"/>
              </w:rPr>
              <w:t>810N；④乙酸盐雾测试连续雾</w:t>
            </w:r>
            <w:r>
              <w:rPr>
                <w:rFonts w:hint="eastAsia" w:ascii="宋体" w:hAnsi="宋体" w:cs="宋体"/>
                <w:color w:val="auto"/>
                <w:kern w:val="0"/>
                <w:sz w:val="24"/>
                <w:highlight w:val="none"/>
                <w:lang w:val="en-US" w:eastAsia="zh-CN"/>
              </w:rPr>
              <w:t>至少</w:t>
            </w:r>
            <w:r>
              <w:rPr>
                <w:rFonts w:hint="eastAsia" w:ascii="宋体" w:hAnsi="宋体" w:cs="宋体"/>
                <w:color w:val="auto"/>
                <w:kern w:val="0"/>
                <w:sz w:val="24"/>
                <w:highlight w:val="none"/>
              </w:rPr>
              <w:t>120小时，检测结果</w:t>
            </w:r>
            <w:r>
              <w:rPr>
                <w:rFonts w:hint="eastAsia" w:ascii="宋体" w:hAnsi="宋体" w:cs="宋体"/>
                <w:color w:val="auto"/>
                <w:sz w:val="24"/>
                <w:highlight w:val="none"/>
              </w:rPr>
              <w:t>≥</w:t>
            </w:r>
            <w:r>
              <w:rPr>
                <w:rFonts w:hint="eastAsia" w:ascii="宋体" w:hAnsi="宋体" w:cs="宋体"/>
                <w:color w:val="auto"/>
                <w:kern w:val="0"/>
                <w:sz w:val="24"/>
                <w:highlight w:val="none"/>
              </w:rPr>
              <w:t>10级；⑤外观性能要求:电镀层未见缺陷。完全满足以上所有要求且检测结论为合格的得3分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41FCFFA2">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7FE2B57A">
            <w:pPr>
              <w:keepNext w:val="0"/>
              <w:keepLines w:val="0"/>
              <w:suppressLineNumbers w:val="0"/>
              <w:spacing w:before="0" w:beforeAutospacing="0" w:after="0" w:afterAutospacing="0" w:line="360" w:lineRule="auto"/>
              <w:ind w:left="0" w:right="0"/>
              <w:jc w:val="center"/>
              <w:rPr>
                <w:rFonts w:hint="eastAsia" w:ascii="宋体" w:hAnsi="宋体"/>
                <w:bCs/>
                <w:color w:val="auto"/>
                <w:sz w:val="24"/>
                <w:highlight w:val="none"/>
              </w:rPr>
            </w:pPr>
            <w:r>
              <w:rPr>
                <w:rFonts w:hint="eastAsia" w:ascii="宋体" w:hAnsi="宋体"/>
                <w:bCs/>
                <w:color w:val="auto"/>
                <w:sz w:val="24"/>
                <w:highlight w:val="none"/>
              </w:rPr>
              <w:t>3</w:t>
            </w:r>
          </w:p>
        </w:tc>
      </w:tr>
      <w:tr w14:paraId="03D1FC94">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1B65EC2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1-5</w:t>
            </w:r>
          </w:p>
        </w:tc>
        <w:tc>
          <w:tcPr>
            <w:tcW w:w="7812" w:type="dxa"/>
            <w:tcBorders>
              <w:top w:val="single" w:color="auto" w:sz="4" w:space="0"/>
              <w:left w:val="single" w:color="auto" w:sz="4" w:space="0"/>
              <w:bottom w:val="single" w:color="auto" w:sz="4" w:space="0"/>
              <w:right w:val="single" w:color="auto" w:sz="4" w:space="0"/>
            </w:tcBorders>
            <w:noWrap w:val="0"/>
            <w:vAlign w:val="top"/>
          </w:tcPr>
          <w:p w14:paraId="4D6B831B">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kern w:val="0"/>
                <w:sz w:val="24"/>
                <w:highlight w:val="none"/>
              </w:rPr>
              <w:t>投标人所投</w:t>
            </w:r>
            <w:r>
              <w:rPr>
                <w:rFonts w:hint="eastAsia" w:ascii="宋体" w:hAnsi="宋体" w:cs="宋体"/>
                <w:bCs/>
                <w:color w:val="auto"/>
                <w:sz w:val="24"/>
                <w:highlight w:val="none"/>
              </w:rPr>
              <w:t>衣柜（覆面）</w:t>
            </w:r>
            <w:r>
              <w:rPr>
                <w:rFonts w:hint="eastAsia" w:ascii="宋体" w:hAnsi="宋体" w:cs="宋体"/>
                <w:color w:val="auto"/>
                <w:kern w:val="0"/>
                <w:sz w:val="24"/>
                <w:highlight w:val="none"/>
              </w:rPr>
              <w:t>,提供由第三方检测机构出具的检测报告，检测项目内容至少包含以下项目:</w:t>
            </w:r>
            <w:r>
              <w:rPr>
                <w:rFonts w:hint="eastAsia" w:ascii="宋体" w:hAnsi="宋体" w:cs="宋体"/>
                <w:color w:val="auto"/>
                <w:sz w:val="24"/>
                <w:highlight w:val="none"/>
              </w:rPr>
              <w:t>①人造板件外观：包含干花、湿花、污斑、表面划痕、表面压痕、色差、鼓泡、龟裂、分层；②家具五金件外观：包含电镀件、金属合金件；③软硬质覆面理化性能：包含耐冷热循环、耐划痕、表面耐磨性都符合要求；耐干热、耐湿热、耐污染性能、耐光色牢度都达到4级；抗冲击达到2级；④柜类强度和耐久性、柜类稳定性；⑤甲醛释放量（气候箱法）≤0.124mg/m³；</w:t>
            </w:r>
          </w:p>
          <w:p w14:paraId="14DD4E33">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6E5054DF">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17C94CAE">
            <w:pPr>
              <w:keepNext w:val="0"/>
              <w:keepLines w:val="0"/>
              <w:suppressLineNumbers w:val="0"/>
              <w:spacing w:before="0" w:beforeAutospacing="0" w:after="0" w:afterAutospacing="0" w:line="360" w:lineRule="auto"/>
              <w:ind w:left="0" w:right="0"/>
              <w:jc w:val="center"/>
              <w:rPr>
                <w:rFonts w:hint="eastAsia" w:ascii="宋体" w:hAnsi="宋体"/>
                <w:bCs/>
                <w:color w:val="auto"/>
                <w:sz w:val="24"/>
                <w:highlight w:val="none"/>
              </w:rPr>
            </w:pPr>
            <w:r>
              <w:rPr>
                <w:rFonts w:hint="eastAsia" w:ascii="宋体" w:hAnsi="宋体"/>
                <w:bCs/>
                <w:color w:val="auto"/>
                <w:sz w:val="24"/>
                <w:highlight w:val="none"/>
              </w:rPr>
              <w:t>3</w:t>
            </w:r>
          </w:p>
        </w:tc>
      </w:tr>
      <w:tr w14:paraId="7BA0BF9E">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52D2A32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1-6</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61397934">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kern w:val="0"/>
                <w:sz w:val="24"/>
                <w:highlight w:val="none"/>
              </w:rPr>
              <w:t>投标人所投</w:t>
            </w:r>
            <w:r>
              <w:rPr>
                <w:rFonts w:hint="eastAsia" w:ascii="宋体" w:hAnsi="宋体" w:cs="宋体"/>
                <w:color w:val="auto"/>
                <w:sz w:val="24"/>
                <w:highlight w:val="none"/>
              </w:rPr>
              <w:t>储物柜（覆面）</w:t>
            </w:r>
            <w:r>
              <w:rPr>
                <w:rFonts w:hint="eastAsia" w:ascii="宋体" w:hAnsi="宋体" w:cs="宋体"/>
                <w:color w:val="auto"/>
                <w:kern w:val="0"/>
                <w:sz w:val="24"/>
                <w:highlight w:val="none"/>
              </w:rPr>
              <w:t>,提供由第三方检测机构出具的检测报告，检测项目内容至少包含以下项目:</w:t>
            </w:r>
            <w:r>
              <w:rPr>
                <w:rFonts w:hint="eastAsia" w:ascii="宋体" w:hAnsi="宋体" w:cs="宋体"/>
                <w:color w:val="auto"/>
                <w:sz w:val="24"/>
                <w:highlight w:val="none"/>
              </w:rPr>
              <w:t>①人造板件外观：包含干花、湿花、污斑、表面划痕、表面压痕、色差、鼓泡、龟裂、分层；②家具五金件外观：包含电镀件、金属合金件；③结构安全性；④软硬质覆面理化性能：包含耐冷热循环、耐划痕、表面耐磨性都符合要求；耐干热、耐湿热、耐污染性能、耐光色牢度都达到4级；抗冲击达到2级；⑤柜类强度和耐久性、柜类稳定性；⑥甲醛释放量（气候箱法）≤0.05mg/m³；</w:t>
            </w:r>
          </w:p>
          <w:p w14:paraId="0AD732AC">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1B6CA65F">
            <w:pPr>
              <w:keepNext w:val="0"/>
              <w:keepLines w:val="0"/>
              <w:suppressLineNumbers w:val="0"/>
              <w:tabs>
                <w:tab w:val="left" w:pos="720"/>
              </w:tabs>
              <w:spacing w:before="0" w:beforeAutospacing="0" w:after="0" w:afterAutospacing="0" w:line="360" w:lineRule="auto"/>
              <w:ind w:left="0" w:right="18"/>
              <w:rPr>
                <w:rFonts w:hint="eastAsia" w:ascii="宋体" w:hAnsi="宋体" w:cs="宋体"/>
                <w:color w:val="auto"/>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29155C14">
            <w:pPr>
              <w:keepNext w:val="0"/>
              <w:keepLines w:val="0"/>
              <w:suppressLineNumbers w:val="0"/>
              <w:tabs>
                <w:tab w:val="left" w:pos="720"/>
              </w:tabs>
              <w:spacing w:before="0" w:beforeAutospacing="0" w:after="0" w:afterAutospacing="0" w:line="360" w:lineRule="auto"/>
              <w:ind w:left="0" w:right="18"/>
              <w:jc w:val="center"/>
              <w:rPr>
                <w:rFonts w:hint="eastAsia" w:ascii="宋体" w:hAnsi="宋体" w:cs="宋体"/>
                <w:color w:val="auto"/>
                <w:sz w:val="24"/>
                <w:highlight w:val="none"/>
              </w:rPr>
            </w:pPr>
            <w:r>
              <w:rPr>
                <w:rFonts w:hint="eastAsia" w:ascii="宋体" w:hAnsi="宋体"/>
                <w:bCs/>
                <w:color w:val="auto"/>
                <w:sz w:val="24"/>
                <w:highlight w:val="none"/>
              </w:rPr>
              <w:t>3</w:t>
            </w:r>
          </w:p>
        </w:tc>
      </w:tr>
      <w:tr w14:paraId="3DC4DBFB">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61F6033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1-7</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577950B0">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kern w:val="0"/>
                <w:sz w:val="24"/>
                <w:highlight w:val="none"/>
              </w:rPr>
              <w:t>投标人所投</w:t>
            </w:r>
            <w:r>
              <w:rPr>
                <w:rFonts w:hint="eastAsia" w:ascii="宋体" w:hAnsi="宋体" w:cs="宋体"/>
                <w:bCs/>
                <w:color w:val="auto"/>
                <w:kern w:val="0"/>
                <w:sz w:val="24"/>
                <w:highlight w:val="none"/>
                <w:lang w:bidi="ar"/>
              </w:rPr>
              <w:t>学生公寓床板</w:t>
            </w:r>
            <w:r>
              <w:rPr>
                <w:rFonts w:hint="eastAsia" w:ascii="宋体" w:hAnsi="宋体" w:cs="宋体"/>
                <w:color w:val="auto"/>
                <w:kern w:val="0"/>
                <w:sz w:val="24"/>
                <w:highlight w:val="none"/>
              </w:rPr>
              <w:t>,提供由第三方检测机构出具的检测报告，检测项目内容至少包含以下项目:</w:t>
            </w:r>
            <w:r>
              <w:rPr>
                <w:rFonts w:hint="eastAsia" w:ascii="宋体" w:hAnsi="宋体" w:cs="宋体"/>
                <w:color w:val="auto"/>
                <w:sz w:val="24"/>
                <w:highlight w:val="none"/>
              </w:rPr>
              <w:t>①抗细菌性能：白色念珠菌；②防霉性能：球毛壳霉；③木质件含水率；</w:t>
            </w:r>
          </w:p>
          <w:p w14:paraId="0EF90E9D">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079CE839">
            <w:pPr>
              <w:keepNext w:val="0"/>
              <w:keepLines w:val="0"/>
              <w:suppressLineNumbers w:val="0"/>
              <w:tabs>
                <w:tab w:val="left" w:pos="720"/>
              </w:tabs>
              <w:spacing w:before="0" w:beforeAutospacing="0" w:after="0" w:afterAutospacing="0" w:line="360" w:lineRule="auto"/>
              <w:ind w:left="0" w:right="18"/>
              <w:rPr>
                <w:rFonts w:hint="eastAsia" w:ascii="宋体" w:hAnsi="宋体" w:cs="宋体"/>
                <w:color w:val="auto"/>
                <w:kern w:val="0"/>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7A4169FD">
            <w:pPr>
              <w:keepNext w:val="0"/>
              <w:keepLines w:val="0"/>
              <w:suppressLineNumbers w:val="0"/>
              <w:tabs>
                <w:tab w:val="left" w:pos="720"/>
              </w:tabs>
              <w:spacing w:before="0" w:beforeAutospacing="0" w:after="0" w:afterAutospacing="0" w:line="360" w:lineRule="auto"/>
              <w:ind w:left="0" w:right="18"/>
              <w:jc w:val="center"/>
              <w:rPr>
                <w:rFonts w:hint="default" w:ascii="宋体" w:hAnsi="宋体"/>
                <w:bCs/>
                <w:color w:val="auto"/>
                <w:sz w:val="24"/>
                <w:highlight w:val="none"/>
              </w:rPr>
            </w:pPr>
            <w:r>
              <w:rPr>
                <w:rFonts w:hint="eastAsia" w:ascii="宋体" w:hAnsi="宋体"/>
                <w:bCs/>
                <w:color w:val="auto"/>
                <w:sz w:val="24"/>
                <w:highlight w:val="none"/>
              </w:rPr>
              <w:t>3</w:t>
            </w:r>
          </w:p>
        </w:tc>
      </w:tr>
      <w:tr w14:paraId="49DA78DC">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4A9A807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1-8</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4B3531BB">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kern w:val="0"/>
                <w:sz w:val="24"/>
                <w:highlight w:val="none"/>
              </w:rPr>
              <w:t>投标人所投</w:t>
            </w:r>
            <w:r>
              <w:rPr>
                <w:rFonts w:hint="eastAsia" w:ascii="宋体" w:hAnsi="宋体"/>
                <w:bCs/>
                <w:color w:val="auto"/>
                <w:sz w:val="24"/>
                <w:highlight w:val="none"/>
              </w:rPr>
              <w:t>公寓椅</w:t>
            </w:r>
            <w:r>
              <w:rPr>
                <w:rFonts w:hint="eastAsia" w:ascii="宋体" w:hAnsi="宋体" w:cs="宋体"/>
                <w:color w:val="auto"/>
                <w:kern w:val="0"/>
                <w:sz w:val="24"/>
                <w:highlight w:val="none"/>
              </w:rPr>
              <w:t>,提供由第三方检测机构出具的检测报告，检测项目内容至少包含以下项目:</w:t>
            </w:r>
            <w:r>
              <w:rPr>
                <w:rFonts w:hint="eastAsia" w:ascii="宋体" w:hAnsi="宋体" w:cs="宋体"/>
                <w:color w:val="auto"/>
                <w:sz w:val="24"/>
                <w:highlight w:val="none"/>
              </w:rPr>
              <w:t>①金属件外观性能要求：包含管材、喷涂层、皱纹或波纹、铆接件、冲压件、焊接处、电镀层；②安全性能要求：包含固定部位的结合应牢固无松动、无少件、透钉、漏钉（预留孔、选择孔除外），人体接触或收藏物品的部位应无毛刺、刃口、棱角；③金属喷漆（塑）涂层理化性能：包含耐腐蚀、冲击强度</w:t>
            </w:r>
            <w:r>
              <w:rPr>
                <w:rFonts w:hint="eastAsia" w:ascii="宋体" w:hAnsi="宋体" w:cs="宋体"/>
                <w:bCs/>
                <w:color w:val="auto"/>
                <w:sz w:val="24"/>
                <w:highlight w:val="none"/>
              </w:rPr>
              <w:t>（冲击高度400mm）均</w:t>
            </w:r>
            <w:r>
              <w:rPr>
                <w:rFonts w:hint="eastAsia" w:ascii="宋体" w:hAnsi="宋体" w:cs="宋体"/>
                <w:color w:val="auto"/>
                <w:sz w:val="24"/>
                <w:highlight w:val="none"/>
              </w:rPr>
              <w:t>符合要求、附着力达到1级、硬度≥3H；④椅凳类强度和耐久性：包含椅背冲击、座面冲击、椅背静载荷、座面静载荷；⑤椅凳类稳定性：包含凳子任意方向的倾翻、向后倾翻、无扶手椅侧向倾翻、向前倾翻；⑥甲醛释放量（气候箱法）≤0.05mg/m³；⑦金属表面耐腐蚀—中性盐雾连续喷雾</w:t>
            </w:r>
            <w:r>
              <w:rPr>
                <w:rFonts w:hint="eastAsia" w:ascii="宋体" w:hAnsi="宋体" w:cs="宋体"/>
                <w:color w:val="auto"/>
                <w:sz w:val="24"/>
                <w:highlight w:val="none"/>
                <w:lang w:val="en-US" w:eastAsia="zh-CN"/>
              </w:rPr>
              <w:t>至少</w:t>
            </w:r>
            <w:r>
              <w:rPr>
                <w:rFonts w:hint="eastAsia" w:ascii="宋体" w:hAnsi="宋体" w:cs="宋体"/>
                <w:color w:val="auto"/>
                <w:sz w:val="24"/>
                <w:highlight w:val="none"/>
                <w:shd w:val="clear"/>
                <w:lang w:val="en-US" w:eastAsia="zh-CN"/>
              </w:rPr>
              <w:t>240</w:t>
            </w:r>
            <w:r>
              <w:rPr>
                <w:rFonts w:hint="eastAsia" w:ascii="宋体" w:hAnsi="宋体" w:cs="宋体"/>
                <w:color w:val="auto"/>
                <w:sz w:val="24"/>
                <w:highlight w:val="none"/>
              </w:rPr>
              <w:t>小时，达10级；</w:t>
            </w:r>
          </w:p>
          <w:p w14:paraId="52C4B443">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66EF8F63">
            <w:pPr>
              <w:keepNext w:val="0"/>
              <w:keepLines w:val="0"/>
              <w:suppressLineNumbers w:val="0"/>
              <w:tabs>
                <w:tab w:val="left" w:pos="720"/>
              </w:tabs>
              <w:spacing w:before="0" w:beforeAutospacing="0" w:after="0" w:afterAutospacing="0" w:line="360" w:lineRule="auto"/>
              <w:ind w:left="0" w:right="18"/>
              <w:rPr>
                <w:rFonts w:hint="eastAsia" w:ascii="宋体" w:hAnsi="宋体" w:cs="宋体"/>
                <w:color w:val="auto"/>
                <w:kern w:val="0"/>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34AD0C4C">
            <w:pPr>
              <w:keepNext w:val="0"/>
              <w:keepLines w:val="0"/>
              <w:suppressLineNumbers w:val="0"/>
              <w:tabs>
                <w:tab w:val="left" w:pos="720"/>
              </w:tabs>
              <w:spacing w:before="0" w:beforeAutospacing="0" w:after="0" w:afterAutospacing="0" w:line="360" w:lineRule="auto"/>
              <w:ind w:left="0" w:right="18"/>
              <w:jc w:val="center"/>
              <w:rPr>
                <w:rFonts w:hint="default" w:ascii="宋体" w:hAnsi="宋体"/>
                <w:bCs/>
                <w:color w:val="auto"/>
                <w:sz w:val="24"/>
                <w:highlight w:val="none"/>
              </w:rPr>
            </w:pPr>
            <w:r>
              <w:rPr>
                <w:rFonts w:hint="eastAsia" w:ascii="宋体" w:hAnsi="宋体"/>
                <w:bCs/>
                <w:color w:val="auto"/>
                <w:sz w:val="24"/>
                <w:highlight w:val="none"/>
              </w:rPr>
              <w:t>3</w:t>
            </w:r>
          </w:p>
        </w:tc>
      </w:tr>
      <w:tr w14:paraId="1170644C">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74DEDEC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1-9</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798293CF">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kern w:val="0"/>
                <w:sz w:val="24"/>
                <w:highlight w:val="none"/>
              </w:rPr>
              <w:t>投标人所投</w:t>
            </w:r>
            <w:r>
              <w:rPr>
                <w:rFonts w:hint="eastAsia" w:ascii="宋体" w:hAnsi="宋体" w:cs="宋体"/>
                <w:color w:val="auto"/>
                <w:sz w:val="24"/>
                <w:highlight w:val="none"/>
              </w:rPr>
              <w:t>书桌</w:t>
            </w:r>
            <w:r>
              <w:rPr>
                <w:rFonts w:hint="eastAsia" w:ascii="宋体" w:hAnsi="宋体" w:cs="宋体"/>
                <w:color w:val="auto"/>
                <w:kern w:val="0"/>
                <w:sz w:val="24"/>
                <w:highlight w:val="none"/>
              </w:rPr>
              <w:t>（覆面）,提供由第三方检测机构出具的检测报告，检测项目内容至少包含以下项目:</w:t>
            </w:r>
            <w:r>
              <w:rPr>
                <w:rFonts w:hint="eastAsia" w:ascii="宋体" w:hAnsi="宋体" w:cs="宋体"/>
                <w:color w:val="auto"/>
                <w:sz w:val="24"/>
                <w:highlight w:val="none"/>
              </w:rPr>
              <w:t>①人造板件外观：包含干花、湿花、污斑、表面划痕、表面压痕、色差、鼓泡、龟裂、分层；②家具五金件外观：包含电镀件、金属合金件；③软硬质覆面理化性能：包含耐冷热循环、耐划痕、表面耐磨性都符合要求；耐干热、耐湿热、耐污染性能、耐光色牢度都达到4级；抗冲击达到2级；④桌类强度和耐久性、桌类稳定性；⑤甲醛释放量（气候箱法）≤0.124mg/m³</w:t>
            </w:r>
            <w:r>
              <w:rPr>
                <w:rFonts w:hint="eastAsia" w:ascii="宋体" w:hAnsi="宋体" w:cs="宋体"/>
                <w:color w:val="auto"/>
                <w:szCs w:val="21"/>
                <w:highlight w:val="none"/>
              </w:rPr>
              <w:t>；</w:t>
            </w:r>
          </w:p>
          <w:p w14:paraId="0C0D826D">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09570A9C">
            <w:pPr>
              <w:keepNext w:val="0"/>
              <w:keepLines w:val="0"/>
              <w:suppressLineNumbers w:val="0"/>
              <w:tabs>
                <w:tab w:val="left" w:pos="720"/>
              </w:tabs>
              <w:spacing w:before="0" w:beforeAutospacing="0" w:after="0" w:afterAutospacing="0" w:line="360" w:lineRule="auto"/>
              <w:ind w:left="0" w:right="18"/>
              <w:rPr>
                <w:rFonts w:hint="eastAsia" w:ascii="宋体" w:hAnsi="宋体" w:cs="宋体"/>
                <w:color w:val="auto"/>
                <w:kern w:val="0"/>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05A70777">
            <w:pPr>
              <w:keepNext w:val="0"/>
              <w:keepLines w:val="0"/>
              <w:suppressLineNumbers w:val="0"/>
              <w:tabs>
                <w:tab w:val="left" w:pos="720"/>
              </w:tabs>
              <w:spacing w:before="0" w:beforeAutospacing="0" w:after="0" w:afterAutospacing="0" w:line="360" w:lineRule="auto"/>
              <w:ind w:left="0" w:right="18"/>
              <w:jc w:val="center"/>
              <w:rPr>
                <w:rFonts w:hint="default" w:ascii="宋体" w:hAnsi="宋体"/>
                <w:bCs/>
                <w:color w:val="auto"/>
                <w:sz w:val="24"/>
                <w:highlight w:val="none"/>
              </w:rPr>
            </w:pPr>
            <w:r>
              <w:rPr>
                <w:rFonts w:hint="eastAsia" w:ascii="宋体" w:hAnsi="宋体"/>
                <w:bCs/>
                <w:color w:val="auto"/>
                <w:sz w:val="24"/>
                <w:highlight w:val="none"/>
              </w:rPr>
              <w:t>3</w:t>
            </w:r>
          </w:p>
        </w:tc>
      </w:tr>
      <w:tr w14:paraId="53AEE432">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18D560E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1-10</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31205921">
            <w:pPr>
              <w:keepNext w:val="0"/>
              <w:keepLines w:val="0"/>
              <w:suppressLineNumbers w:val="0"/>
              <w:spacing w:before="0" w:beforeAutospacing="0" w:after="0" w:afterAutospacing="0" w:line="360" w:lineRule="auto"/>
              <w:ind w:left="0" w:right="0"/>
              <w:jc w:val="left"/>
              <w:rPr>
                <w:rFonts w:hint="default" w:ascii="宋体" w:hAnsi="宋体" w:cs="宋体"/>
                <w:bCs/>
                <w:color w:val="auto"/>
                <w:sz w:val="24"/>
                <w:highlight w:val="none"/>
              </w:rPr>
            </w:pPr>
            <w:r>
              <w:rPr>
                <w:rFonts w:hint="eastAsia" w:ascii="宋体" w:hAnsi="宋体" w:cs="宋体"/>
                <w:color w:val="auto"/>
                <w:kern w:val="0"/>
                <w:sz w:val="24"/>
                <w:highlight w:val="none"/>
              </w:rPr>
              <w:t>投标人所投货物所使用的</w:t>
            </w:r>
            <w:r>
              <w:rPr>
                <w:rFonts w:hint="eastAsia" w:ascii="宋体" w:hAnsi="宋体"/>
                <w:bCs/>
                <w:color w:val="auto"/>
                <w:sz w:val="24"/>
                <w:highlight w:val="none"/>
              </w:rPr>
              <w:t>钢管</w:t>
            </w:r>
            <w:r>
              <w:rPr>
                <w:rFonts w:hint="eastAsia" w:ascii="宋体" w:hAnsi="宋体" w:cs="宋体"/>
                <w:color w:val="auto"/>
                <w:kern w:val="0"/>
                <w:sz w:val="24"/>
                <w:highlight w:val="none"/>
              </w:rPr>
              <w:t>,提供由第三方检测机构出具的检测报告，检测项目内容至少包含以下项目:</w:t>
            </w:r>
            <w:r>
              <w:rPr>
                <w:rFonts w:hint="eastAsia" w:ascii="宋体" w:hAnsi="宋体" w:cs="宋体"/>
                <w:color w:val="auto"/>
                <w:sz w:val="24"/>
                <w:highlight w:val="none"/>
              </w:rPr>
              <w:t>①力学性能：抗拉强度≥600MPa、屈服强度≥400MPa、断后伸长率≥50%</w:t>
            </w:r>
            <w:r>
              <w:rPr>
                <w:rFonts w:hint="eastAsia" w:ascii="宋体" w:hAnsi="宋体" w:cs="宋体"/>
                <w:bCs/>
                <w:color w:val="auto"/>
                <w:sz w:val="24"/>
                <w:highlight w:val="none"/>
              </w:rPr>
              <w:t>；</w:t>
            </w:r>
          </w:p>
          <w:p w14:paraId="3300C208">
            <w:pPr>
              <w:keepNext w:val="0"/>
              <w:keepLines w:val="0"/>
              <w:suppressLineNumbers w:val="0"/>
              <w:spacing w:before="0" w:beforeAutospacing="0" w:after="0" w:afterAutospacing="0" w:line="360" w:lineRule="auto"/>
              <w:ind w:left="0" w:right="0"/>
              <w:jc w:val="left"/>
              <w:rPr>
                <w:rFonts w:hint="eastAsia" w:ascii="宋体" w:hAnsi="宋体" w:cs="宋体"/>
                <w:color w:val="auto"/>
                <w:sz w:val="24"/>
                <w:highlight w:val="none"/>
              </w:rPr>
            </w:pPr>
            <w:r>
              <w:rPr>
                <w:rFonts w:hint="eastAsia" w:ascii="宋体" w:hAnsi="宋体" w:cs="宋体"/>
                <w:color w:val="auto"/>
                <w:sz w:val="24"/>
                <w:highlight w:val="none"/>
              </w:rPr>
              <w:t>②化学成分</w:t>
            </w:r>
            <w:r>
              <w:rPr>
                <w:rFonts w:hint="eastAsia" w:ascii="宋体" w:hAnsi="宋体" w:cs="宋体"/>
                <w:bCs/>
                <w:color w:val="auto"/>
                <w:sz w:val="24"/>
                <w:highlight w:val="none"/>
              </w:rPr>
              <w:t>：</w:t>
            </w:r>
            <w:r>
              <w:rPr>
                <w:rFonts w:hint="eastAsia" w:ascii="宋体" w:hAnsi="宋体" w:cs="宋体"/>
                <w:color w:val="auto"/>
                <w:sz w:val="24"/>
                <w:highlight w:val="none"/>
              </w:rPr>
              <w:t>碳C≤0.07%，硅Si≤0.7%，锰Mn≤0.60%，磷P≤0.02%，硫S≤0.02%</w:t>
            </w:r>
            <w:r>
              <w:rPr>
                <w:rFonts w:hint="eastAsia" w:ascii="宋体" w:hAnsi="宋体" w:cs="宋体"/>
                <w:color w:val="auto"/>
                <w:szCs w:val="21"/>
                <w:highlight w:val="none"/>
              </w:rPr>
              <w:t>；</w:t>
            </w:r>
          </w:p>
          <w:p w14:paraId="0C0DB76D">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6A6C1DA8">
            <w:pPr>
              <w:keepNext w:val="0"/>
              <w:keepLines w:val="0"/>
              <w:suppressLineNumbers w:val="0"/>
              <w:tabs>
                <w:tab w:val="left" w:pos="720"/>
              </w:tabs>
              <w:spacing w:before="0" w:beforeAutospacing="0" w:after="0" w:afterAutospacing="0" w:line="360" w:lineRule="auto"/>
              <w:ind w:left="0" w:right="18"/>
              <w:rPr>
                <w:rFonts w:hint="eastAsia" w:ascii="宋体" w:hAnsi="宋体" w:cs="宋体"/>
                <w:color w:val="auto"/>
                <w:kern w:val="0"/>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14DAC797">
            <w:pPr>
              <w:keepNext w:val="0"/>
              <w:keepLines w:val="0"/>
              <w:suppressLineNumbers w:val="0"/>
              <w:tabs>
                <w:tab w:val="left" w:pos="720"/>
              </w:tabs>
              <w:spacing w:before="0" w:beforeAutospacing="0" w:after="0" w:afterAutospacing="0" w:line="360" w:lineRule="auto"/>
              <w:ind w:left="0" w:right="18"/>
              <w:jc w:val="center"/>
              <w:rPr>
                <w:rFonts w:hint="default" w:ascii="宋体" w:hAnsi="宋体"/>
                <w:bCs/>
                <w:color w:val="auto"/>
                <w:sz w:val="24"/>
                <w:highlight w:val="none"/>
              </w:rPr>
            </w:pPr>
            <w:r>
              <w:rPr>
                <w:rFonts w:hint="eastAsia" w:ascii="宋体" w:hAnsi="宋体"/>
                <w:bCs/>
                <w:color w:val="auto"/>
                <w:sz w:val="24"/>
                <w:highlight w:val="none"/>
              </w:rPr>
              <w:t>3</w:t>
            </w:r>
          </w:p>
        </w:tc>
      </w:tr>
      <w:tr w14:paraId="4E36EAEB">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79B1CA6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1-11</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23880542">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kern w:val="0"/>
                <w:sz w:val="24"/>
                <w:highlight w:val="none"/>
              </w:rPr>
              <w:t>投标人所投货物所使用的</w:t>
            </w:r>
            <w:r>
              <w:rPr>
                <w:rFonts w:hint="eastAsia" w:ascii="宋体" w:hAnsi="宋体"/>
                <w:bCs/>
                <w:color w:val="auto"/>
                <w:sz w:val="24"/>
                <w:highlight w:val="none"/>
              </w:rPr>
              <w:t>静电粉末</w:t>
            </w:r>
            <w:r>
              <w:rPr>
                <w:rFonts w:hint="eastAsia" w:ascii="宋体" w:hAnsi="宋体" w:cs="宋体"/>
                <w:color w:val="auto"/>
                <w:kern w:val="0"/>
                <w:sz w:val="24"/>
                <w:highlight w:val="none"/>
              </w:rPr>
              <w:t>,提供由第三方检测机构出具的检测报告，检测项目内容至少包含以下项目:</w:t>
            </w:r>
            <w:r>
              <w:rPr>
                <w:rFonts w:hint="eastAsia" w:ascii="宋体" w:hAnsi="宋体" w:cs="宋体"/>
                <w:bCs/>
                <w:color w:val="auto"/>
                <w:sz w:val="24"/>
                <w:highlight w:val="none"/>
              </w:rPr>
              <w:t>①筛余物(125μm)，检测结果为全部通过；</w:t>
            </w:r>
            <w:r>
              <w:rPr>
                <w:rFonts w:hint="eastAsia" w:ascii="宋体" w:hAnsi="宋体" w:cs="宋体"/>
                <w:color w:val="auto"/>
                <w:sz w:val="24"/>
                <w:highlight w:val="none"/>
              </w:rPr>
              <w:t>②耐冲击性（正向冲击）、弯曲试验、耐盐雾性</w:t>
            </w:r>
            <w:r>
              <w:rPr>
                <w:rFonts w:hint="eastAsia" w:ascii="宋体" w:hAnsi="宋体" w:cs="宋体"/>
                <w:bCs/>
                <w:color w:val="auto"/>
                <w:sz w:val="24"/>
                <w:highlight w:val="none"/>
              </w:rPr>
              <w:t>以上单项评价为合格</w:t>
            </w:r>
            <w:r>
              <w:rPr>
                <w:rFonts w:hint="eastAsia" w:ascii="宋体" w:hAnsi="宋体" w:cs="宋体"/>
                <w:color w:val="auto"/>
                <w:sz w:val="24"/>
                <w:highlight w:val="none"/>
              </w:rPr>
              <w:t>；③耐酸性、耐碱性、耐湿性、耐沸水性，以上</w:t>
            </w:r>
            <w:r>
              <w:rPr>
                <w:rFonts w:hint="eastAsia" w:ascii="宋体" w:hAnsi="宋体" w:cs="宋体"/>
                <w:bCs/>
                <w:color w:val="auto"/>
                <w:sz w:val="24"/>
                <w:highlight w:val="none"/>
              </w:rPr>
              <w:t>检测结果均为无异常</w:t>
            </w:r>
            <w:r>
              <w:rPr>
                <w:rFonts w:hint="eastAsia" w:ascii="宋体" w:hAnsi="宋体" w:cs="宋体"/>
                <w:color w:val="auto"/>
                <w:szCs w:val="21"/>
                <w:highlight w:val="none"/>
              </w:rPr>
              <w:t>；</w:t>
            </w:r>
          </w:p>
          <w:p w14:paraId="118C0E79">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4A8D10E6">
            <w:pPr>
              <w:keepNext w:val="0"/>
              <w:keepLines w:val="0"/>
              <w:suppressLineNumbers w:val="0"/>
              <w:tabs>
                <w:tab w:val="left" w:pos="720"/>
              </w:tabs>
              <w:spacing w:before="0" w:beforeAutospacing="0" w:after="0" w:afterAutospacing="0" w:line="360" w:lineRule="auto"/>
              <w:ind w:left="0" w:right="18"/>
              <w:rPr>
                <w:rFonts w:hint="eastAsia" w:ascii="宋体" w:hAnsi="宋体" w:cs="宋体"/>
                <w:color w:val="auto"/>
                <w:kern w:val="0"/>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7294709A">
            <w:pPr>
              <w:keepNext w:val="0"/>
              <w:keepLines w:val="0"/>
              <w:suppressLineNumbers w:val="0"/>
              <w:tabs>
                <w:tab w:val="left" w:pos="720"/>
              </w:tabs>
              <w:spacing w:before="0" w:beforeAutospacing="0" w:after="0" w:afterAutospacing="0" w:line="360" w:lineRule="auto"/>
              <w:ind w:left="0" w:right="18"/>
              <w:jc w:val="center"/>
              <w:rPr>
                <w:rFonts w:hint="default" w:ascii="宋体" w:hAnsi="宋体"/>
                <w:bCs/>
                <w:color w:val="auto"/>
                <w:sz w:val="24"/>
                <w:highlight w:val="none"/>
              </w:rPr>
            </w:pPr>
            <w:r>
              <w:rPr>
                <w:rFonts w:hint="eastAsia" w:ascii="宋体" w:hAnsi="宋体"/>
                <w:bCs/>
                <w:color w:val="auto"/>
                <w:sz w:val="24"/>
                <w:highlight w:val="none"/>
              </w:rPr>
              <w:t>3</w:t>
            </w:r>
          </w:p>
        </w:tc>
      </w:tr>
      <w:tr w14:paraId="75C97589">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7BD89AA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cs="宋体"/>
                <w:color w:val="auto"/>
                <w:sz w:val="24"/>
                <w:highlight w:val="none"/>
              </w:rPr>
              <w:t>1-12</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6AB31931">
            <w:pPr>
              <w:keepNext w:val="0"/>
              <w:keepLines w:val="0"/>
              <w:suppressLineNumbers w:val="0"/>
              <w:spacing w:before="0" w:beforeAutospacing="0" w:after="0" w:afterAutospacing="0" w:line="360" w:lineRule="auto"/>
              <w:ind w:left="0" w:right="0"/>
              <w:jc w:val="left"/>
              <w:rPr>
                <w:rFonts w:hint="eastAsia" w:ascii="宋体" w:hAnsi="宋体" w:cs="宋体"/>
                <w:color w:val="auto"/>
                <w:sz w:val="24"/>
                <w:highlight w:val="none"/>
              </w:rPr>
            </w:pPr>
            <w:r>
              <w:rPr>
                <w:rFonts w:hint="eastAsia" w:ascii="宋体" w:hAnsi="宋体" w:cs="宋体"/>
                <w:color w:val="auto"/>
                <w:kern w:val="0"/>
                <w:sz w:val="24"/>
                <w:highlight w:val="none"/>
              </w:rPr>
              <w:t>投标人所投货物所使用的热熔胶,提供由第三方检测机构出具的检测报告，检测项目内容至少包含以下项目:</w:t>
            </w:r>
            <w:r>
              <w:rPr>
                <w:rFonts w:hint="eastAsia" w:ascii="宋体" w:hAnsi="宋体"/>
                <w:color w:val="auto"/>
                <w:sz w:val="24"/>
                <w:highlight w:val="none"/>
              </w:rPr>
              <w:t>①</w:t>
            </w:r>
            <w:r>
              <w:rPr>
                <w:rFonts w:hint="eastAsia" w:ascii="宋体" w:hAnsi="宋体" w:cs="宋体"/>
                <w:color w:val="auto"/>
                <w:kern w:val="0"/>
                <w:sz w:val="24"/>
                <w:highlight w:val="none"/>
              </w:rPr>
              <w:t>甲苯+二甲苯≤0.04g/kg</w:t>
            </w:r>
            <w:r>
              <w:rPr>
                <w:rFonts w:hint="eastAsia" w:ascii="宋体" w:hAnsi="宋体"/>
                <w:color w:val="auto"/>
                <w:sz w:val="24"/>
                <w:highlight w:val="none"/>
              </w:rPr>
              <w:t>；②</w:t>
            </w:r>
            <w:r>
              <w:rPr>
                <w:rFonts w:hint="eastAsia" w:ascii="宋体" w:hAnsi="宋体" w:cs="宋体"/>
                <w:color w:val="auto"/>
                <w:kern w:val="0"/>
                <w:sz w:val="24"/>
                <w:highlight w:val="none"/>
              </w:rPr>
              <w:t>苯、二氯甲烷、1,2二氯乙烷、1,1，2-三氯乙烷</w:t>
            </w:r>
            <w:r>
              <w:rPr>
                <w:rFonts w:hint="eastAsia" w:ascii="宋体" w:hAnsi="宋体" w:cs="宋体"/>
                <w:color w:val="auto"/>
                <w:sz w:val="24"/>
                <w:highlight w:val="none"/>
              </w:rPr>
              <w:t>、</w:t>
            </w:r>
            <w:r>
              <w:rPr>
                <w:rFonts w:hint="eastAsia" w:ascii="宋体" w:hAnsi="宋体" w:cs="宋体"/>
                <w:color w:val="auto"/>
                <w:kern w:val="0"/>
                <w:sz w:val="24"/>
                <w:highlight w:val="none"/>
              </w:rPr>
              <w:t>三氯乙烯，</w:t>
            </w:r>
            <w:r>
              <w:rPr>
                <w:rFonts w:hint="eastAsia" w:ascii="宋体" w:hAnsi="宋体" w:cs="宋体"/>
                <w:color w:val="auto"/>
                <w:sz w:val="24"/>
                <w:highlight w:val="none"/>
              </w:rPr>
              <w:t>以上</w:t>
            </w:r>
            <w:r>
              <w:rPr>
                <w:rFonts w:hint="eastAsia" w:ascii="宋体" w:hAnsi="宋体" w:cs="宋体"/>
                <w:bCs/>
                <w:color w:val="auto"/>
                <w:sz w:val="24"/>
                <w:highlight w:val="none"/>
              </w:rPr>
              <w:t>检测结果均为未检出</w:t>
            </w:r>
            <w:r>
              <w:rPr>
                <w:rFonts w:hint="eastAsia" w:ascii="宋体" w:hAnsi="宋体" w:cs="宋体"/>
                <w:color w:val="auto"/>
                <w:sz w:val="24"/>
                <w:highlight w:val="none"/>
              </w:rPr>
              <w:t>；</w:t>
            </w:r>
            <w:r>
              <w:rPr>
                <w:rFonts w:hint="eastAsia" w:ascii="宋体" w:hAnsi="宋体"/>
                <w:color w:val="auto"/>
                <w:sz w:val="24"/>
                <w:highlight w:val="none"/>
              </w:rPr>
              <w:t>③</w:t>
            </w:r>
            <w:r>
              <w:rPr>
                <w:rFonts w:hint="eastAsia" w:ascii="宋体" w:hAnsi="宋体" w:cs="宋体"/>
                <w:color w:val="auto"/>
                <w:kern w:val="0"/>
                <w:sz w:val="24"/>
                <w:highlight w:val="none"/>
              </w:rPr>
              <w:t>总挥发性有机物≤5g/L</w:t>
            </w:r>
            <w:r>
              <w:rPr>
                <w:rFonts w:hint="eastAsia" w:ascii="宋体" w:hAnsi="宋体" w:cs="宋体"/>
                <w:color w:val="auto"/>
                <w:szCs w:val="21"/>
                <w:highlight w:val="none"/>
              </w:rPr>
              <w:t>；</w:t>
            </w:r>
          </w:p>
          <w:p w14:paraId="70BFD2DD">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完全满足以上所有要求且检测结论为合格的得3分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44BCBCB7">
            <w:pPr>
              <w:keepNext w:val="0"/>
              <w:keepLines w:val="0"/>
              <w:suppressLineNumbers w:val="0"/>
              <w:tabs>
                <w:tab w:val="left" w:pos="720"/>
              </w:tabs>
              <w:spacing w:before="0" w:beforeAutospacing="0" w:after="0" w:afterAutospacing="0" w:line="360" w:lineRule="auto"/>
              <w:ind w:left="0" w:right="18"/>
              <w:rPr>
                <w:rFonts w:hint="eastAsia" w:ascii="宋体" w:hAnsi="宋体" w:cs="宋体"/>
                <w:color w:val="auto"/>
                <w:kern w:val="0"/>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11E1D78E">
            <w:pPr>
              <w:keepNext w:val="0"/>
              <w:keepLines w:val="0"/>
              <w:suppressLineNumbers w:val="0"/>
              <w:tabs>
                <w:tab w:val="left" w:pos="720"/>
              </w:tabs>
              <w:spacing w:before="0" w:beforeAutospacing="0" w:after="0" w:afterAutospacing="0" w:line="360" w:lineRule="auto"/>
              <w:ind w:left="0" w:right="18"/>
              <w:jc w:val="center"/>
              <w:rPr>
                <w:rFonts w:hint="default" w:ascii="宋体" w:hAnsi="宋体"/>
                <w:bCs/>
                <w:color w:val="auto"/>
                <w:sz w:val="24"/>
                <w:highlight w:val="none"/>
              </w:rPr>
            </w:pPr>
            <w:r>
              <w:rPr>
                <w:rFonts w:hint="eastAsia" w:ascii="宋体" w:hAnsi="宋体"/>
                <w:bCs/>
                <w:color w:val="auto"/>
                <w:sz w:val="24"/>
                <w:highlight w:val="none"/>
              </w:rPr>
              <w:t>3</w:t>
            </w:r>
          </w:p>
        </w:tc>
      </w:tr>
      <w:tr w14:paraId="36792190">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20E82D69">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highlight w:val="none"/>
              </w:rPr>
            </w:pPr>
            <w:r>
              <w:rPr>
                <w:rFonts w:hint="eastAsia" w:ascii="宋体" w:hAnsi="宋体" w:cs="宋体"/>
                <w:color w:val="auto"/>
                <w:sz w:val="24"/>
                <w:highlight w:val="none"/>
              </w:rPr>
              <w:t>1</w:t>
            </w:r>
            <w:r>
              <w:rPr>
                <w:rFonts w:hint="default" w:ascii="宋体" w:hAnsi="宋体" w:cs="宋体"/>
                <w:color w:val="auto"/>
                <w:sz w:val="24"/>
                <w:highlight w:val="none"/>
              </w:rPr>
              <w:t>-13</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1C71B9EC">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bCs/>
                <w:color w:val="auto"/>
                <w:sz w:val="24"/>
                <w:highlight w:val="none"/>
              </w:rPr>
            </w:pPr>
            <w:r>
              <w:rPr>
                <w:rFonts w:hint="eastAsia" w:ascii="宋体" w:hAnsi="宋体" w:cs="宋体"/>
                <w:color w:val="auto"/>
                <w:kern w:val="0"/>
                <w:sz w:val="24"/>
                <w:highlight w:val="none"/>
              </w:rPr>
              <w:t>投标人所投货物所使用的PVC封边条,提供由第三方检测机构出具的检测报告，检测项目内容至少包含以下项目:</w:t>
            </w:r>
            <w:r>
              <w:rPr>
                <w:rFonts w:hint="eastAsia" w:ascii="宋体" w:hAnsi="宋体"/>
                <w:color w:val="auto"/>
                <w:sz w:val="24"/>
                <w:highlight w:val="none"/>
              </w:rPr>
              <w:t xml:space="preserve"> ①</w:t>
            </w:r>
            <w:r>
              <w:rPr>
                <w:rFonts w:hint="eastAsia" w:ascii="宋体" w:hAnsi="宋体" w:cs="宋体"/>
                <w:color w:val="auto"/>
                <w:kern w:val="0"/>
                <w:sz w:val="24"/>
                <w:highlight w:val="none"/>
              </w:rPr>
              <w:t>甲醛释放量检测结果为未检出；</w:t>
            </w:r>
            <w:r>
              <w:rPr>
                <w:rFonts w:hint="eastAsia" w:ascii="宋体" w:hAnsi="宋体"/>
                <w:color w:val="auto"/>
                <w:sz w:val="24"/>
                <w:highlight w:val="none"/>
              </w:rPr>
              <w:t>②</w:t>
            </w:r>
            <w:r>
              <w:rPr>
                <w:rFonts w:hint="eastAsia" w:ascii="宋体" w:hAnsi="宋体" w:cs="宋体"/>
                <w:color w:val="auto"/>
                <w:kern w:val="0"/>
                <w:sz w:val="24"/>
                <w:highlight w:val="none"/>
              </w:rPr>
              <w:t>有害物质限量(铅、镉、铬、汞、砷、钡、锑、硒)总和≤3mg/kg</w:t>
            </w:r>
            <w:r>
              <w:rPr>
                <w:rFonts w:hint="eastAsia" w:ascii="宋体" w:hAnsi="宋体"/>
                <w:color w:val="auto"/>
                <w:sz w:val="24"/>
                <w:highlight w:val="none"/>
              </w:rPr>
              <w:t>；③</w:t>
            </w:r>
            <w:r>
              <w:rPr>
                <w:rFonts w:hint="eastAsia" w:ascii="宋体" w:hAnsi="宋体" w:cs="宋体"/>
                <w:color w:val="auto"/>
                <w:kern w:val="0"/>
                <w:sz w:val="24"/>
                <w:highlight w:val="none"/>
              </w:rPr>
              <w:t>耐干热性、耐磨性、耐冷热循环性，以上单项评价合格；</w:t>
            </w:r>
          </w:p>
          <w:p w14:paraId="1BF9FF26">
            <w:pPr>
              <w:keepNext w:val="0"/>
              <w:keepLines w:val="0"/>
              <w:suppressLineNumbers w:val="0"/>
              <w:spacing w:before="0" w:beforeAutospacing="0" w:after="0" w:afterAutospacing="0" w:line="360" w:lineRule="auto"/>
              <w:ind w:left="0" w:right="0"/>
              <w:rPr>
                <w:rFonts w:hint="eastAsia" w:ascii="宋体" w:hAnsi="宋体" w:cs="宋体"/>
                <w:color w:val="auto"/>
                <w:kern w:val="0"/>
                <w:sz w:val="24"/>
                <w:highlight w:val="none"/>
              </w:rPr>
            </w:pPr>
            <w:r>
              <w:rPr>
                <w:rFonts w:hint="eastAsia" w:ascii="宋体" w:hAnsi="宋体" w:cs="宋体"/>
                <w:color w:val="auto"/>
                <w:kern w:val="0"/>
                <w:sz w:val="24"/>
                <w:highlight w:val="none"/>
              </w:rPr>
              <w:t>完全满足以上所有要求且检测结论为合格的得</w:t>
            </w:r>
            <w:r>
              <w:rPr>
                <w:rFonts w:hint="default" w:ascii="宋体" w:hAnsi="宋体" w:cs="宋体"/>
                <w:color w:val="auto"/>
                <w:kern w:val="0"/>
                <w:sz w:val="24"/>
                <w:highlight w:val="none"/>
              </w:rPr>
              <w:t>2</w:t>
            </w:r>
            <w:r>
              <w:rPr>
                <w:rFonts w:hint="eastAsia" w:ascii="宋体" w:hAnsi="宋体" w:cs="宋体"/>
                <w:color w:val="auto"/>
                <w:kern w:val="0"/>
                <w:sz w:val="24"/>
                <w:highlight w:val="none"/>
              </w:rPr>
              <w:t>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满足以上部分要求且检测结论为合格的得1分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未提供报告或报告检测结论不合格的不得分</w:t>
            </w:r>
            <w:r>
              <w:rPr>
                <w:rFonts w:hint="eastAsia" w:ascii="宋体" w:hAnsi="宋体" w:cs="宋体"/>
                <w:color w:val="auto"/>
                <w:kern w:val="0"/>
                <w:sz w:val="24"/>
                <w:highlight w:val="none"/>
              </w:rPr>
              <w:t>。</w:t>
            </w:r>
          </w:p>
          <w:p w14:paraId="656216EC">
            <w:pPr>
              <w:keepNext w:val="0"/>
              <w:keepLines w:val="0"/>
              <w:suppressLineNumbers w:val="0"/>
              <w:spacing w:before="0" w:beforeAutospacing="0" w:after="0" w:afterAutospacing="0" w:line="360" w:lineRule="auto"/>
              <w:ind w:left="0" w:right="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注:须提供具有检测机构资质标识(CMA或CNAS)的第三方检测机构出具的检测(检验)报告(并盖有检测专用章)复印件，须提供检测报告查询网址或真伪查询二维码，否则不予认可。</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06C0CC7E">
            <w:pPr>
              <w:keepNext w:val="0"/>
              <w:keepLines w:val="0"/>
              <w:suppressLineNumbers w:val="0"/>
              <w:tabs>
                <w:tab w:val="left" w:pos="720"/>
              </w:tabs>
              <w:spacing w:before="0" w:beforeAutospacing="0" w:after="0" w:afterAutospacing="0" w:line="360" w:lineRule="auto"/>
              <w:ind w:left="0" w:right="18"/>
              <w:jc w:val="center"/>
              <w:rPr>
                <w:rFonts w:hint="eastAsia" w:ascii="宋体" w:hAnsi="宋体"/>
                <w:bCs/>
                <w:color w:val="auto"/>
                <w:sz w:val="24"/>
                <w:highlight w:val="none"/>
              </w:rPr>
            </w:pPr>
            <w:r>
              <w:rPr>
                <w:rFonts w:hint="eastAsia" w:ascii="宋体" w:hAnsi="宋体"/>
                <w:bCs/>
                <w:color w:val="auto"/>
                <w:sz w:val="24"/>
                <w:highlight w:val="none"/>
              </w:rPr>
              <w:t>2</w:t>
            </w:r>
          </w:p>
        </w:tc>
      </w:tr>
      <w:tr w14:paraId="5672E436">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5E22665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default" w:ascii="宋体" w:hAnsi="宋体" w:cs="宋体"/>
                <w:color w:val="auto"/>
                <w:sz w:val="24"/>
                <w:highlight w:val="none"/>
              </w:rPr>
              <w:t>1-14</w:t>
            </w:r>
          </w:p>
        </w:tc>
        <w:tc>
          <w:tcPr>
            <w:tcW w:w="7812" w:type="dxa"/>
            <w:tcBorders>
              <w:top w:val="single" w:color="auto" w:sz="4" w:space="0"/>
              <w:left w:val="single" w:color="auto" w:sz="4" w:space="0"/>
              <w:bottom w:val="single" w:color="auto" w:sz="4" w:space="0"/>
              <w:right w:val="single" w:color="auto" w:sz="4" w:space="0"/>
            </w:tcBorders>
            <w:noWrap w:val="0"/>
            <w:vAlign w:val="top"/>
          </w:tcPr>
          <w:p w14:paraId="2F627375">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sz w:val="24"/>
                <w:highlight w:val="none"/>
              </w:rPr>
              <w:t>根据投标</w:t>
            </w:r>
            <w:r>
              <w:rPr>
                <w:rFonts w:hint="eastAsia" w:ascii="宋体" w:hAnsi="宋体" w:cs="宋体"/>
                <w:color w:val="auto"/>
                <w:sz w:val="24"/>
                <w:highlight w:val="none"/>
                <w:lang w:val="en-US" w:eastAsia="zh-CN"/>
              </w:rPr>
              <w:t>产品制造商</w:t>
            </w:r>
            <w:r>
              <w:rPr>
                <w:rFonts w:hint="eastAsia" w:ascii="宋体" w:hAnsi="宋体" w:cs="宋体"/>
                <w:color w:val="auto"/>
                <w:sz w:val="24"/>
                <w:highlight w:val="none"/>
              </w:rPr>
              <w:t>具有的主要生产设备进行评价</w:t>
            </w:r>
            <w:r>
              <w:rPr>
                <w:rFonts w:hint="eastAsia" w:ascii="宋体" w:hAnsi="宋体" w:cs="宋体"/>
                <w:color w:val="auto"/>
                <w:sz w:val="24"/>
                <w:highlight w:val="none"/>
                <w:lang w:eastAsia="zh-CN"/>
              </w:rPr>
              <w:t>：</w:t>
            </w:r>
            <w:r>
              <w:rPr>
                <w:rFonts w:hint="eastAsia" w:ascii="宋体" w:hAnsi="宋体" w:cs="宋体"/>
                <w:color w:val="auto"/>
                <w:sz w:val="24"/>
                <w:highlight w:val="none"/>
              </w:rPr>
              <w:t>具体设备指：木材加工机械-电脑裁板锯、自动直线铣砂边机、滚涂设备、综合砂光机、自动封边机、上浮式砂光机、新型液压拼板机（注：前述设备名称可相近，但功能及作用应相同），</w:t>
            </w:r>
            <w:r>
              <w:rPr>
                <w:rFonts w:hint="eastAsia"/>
                <w:color w:val="auto"/>
                <w:sz w:val="24"/>
                <w:highlight w:val="none"/>
                <w:lang w:val="en-US" w:eastAsia="zh-CN"/>
              </w:rPr>
              <w:t>每</w:t>
            </w:r>
            <w:r>
              <w:rPr>
                <w:rFonts w:hint="eastAsia"/>
                <w:color w:val="auto"/>
                <w:sz w:val="24"/>
                <w:highlight w:val="none"/>
              </w:rPr>
              <w:t>具备上述</w:t>
            </w:r>
            <w:r>
              <w:rPr>
                <w:rFonts w:hint="eastAsia"/>
                <w:color w:val="auto"/>
                <w:sz w:val="24"/>
                <w:highlight w:val="none"/>
                <w:lang w:val="en-US" w:eastAsia="zh-CN"/>
              </w:rPr>
              <w:t>1项</w:t>
            </w:r>
            <w:r>
              <w:rPr>
                <w:rFonts w:hint="eastAsia"/>
                <w:color w:val="auto"/>
                <w:sz w:val="24"/>
                <w:highlight w:val="none"/>
              </w:rPr>
              <w:t>设备得</w:t>
            </w:r>
            <w:r>
              <w:rPr>
                <w:rFonts w:hint="eastAsia"/>
                <w:color w:val="auto"/>
                <w:sz w:val="24"/>
                <w:highlight w:val="none"/>
                <w:lang w:val="en-US" w:eastAsia="zh-CN"/>
              </w:rPr>
              <w:t>1</w:t>
            </w:r>
            <w:r>
              <w:rPr>
                <w:rFonts w:hint="eastAsia"/>
                <w:color w:val="auto"/>
                <w:sz w:val="24"/>
                <w:highlight w:val="none"/>
              </w:rPr>
              <w:t>分，</w:t>
            </w:r>
            <w:r>
              <w:rPr>
                <w:rFonts w:hint="eastAsia"/>
                <w:color w:val="auto"/>
                <w:sz w:val="24"/>
                <w:highlight w:val="none"/>
                <w:lang w:val="en-US" w:eastAsia="zh-CN"/>
              </w:rPr>
              <w:t>本项满分3分，</w:t>
            </w:r>
            <w:r>
              <w:rPr>
                <w:rFonts w:hint="eastAsia"/>
                <w:color w:val="auto"/>
                <w:sz w:val="24"/>
                <w:highlight w:val="none"/>
              </w:rPr>
              <w:t>不满足不得分。</w:t>
            </w:r>
            <w:r>
              <w:rPr>
                <w:rFonts w:hint="eastAsia" w:ascii="宋体" w:hAnsi="宋体" w:cs="宋体"/>
                <w:color w:val="auto"/>
                <w:sz w:val="24"/>
                <w:highlight w:val="none"/>
              </w:rPr>
              <w:t>需提供厂区生产线图片、加工设备清单、设备</w:t>
            </w:r>
            <w:r>
              <w:rPr>
                <w:rFonts w:hint="eastAsia" w:cs="宋体"/>
                <w:color w:val="auto"/>
                <w:sz w:val="24"/>
                <w:highlight w:val="none"/>
              </w:rPr>
              <w:t>购置</w:t>
            </w:r>
            <w:r>
              <w:rPr>
                <w:rFonts w:hint="eastAsia" w:ascii="宋体" w:hAnsi="宋体" w:cs="宋体"/>
                <w:color w:val="auto"/>
                <w:sz w:val="24"/>
                <w:highlight w:val="none"/>
              </w:rPr>
              <w:t>发票复印件（发票复印件上必须有二维码且保证扫描结果与发票信息一致</w:t>
            </w:r>
            <w:r>
              <w:rPr>
                <w:rFonts w:hint="eastAsia" w:ascii="宋体" w:hAnsi="宋体" w:cs="宋体"/>
                <w:color w:val="auto"/>
                <w:sz w:val="24"/>
                <w:highlight w:val="none"/>
                <w:lang w:eastAsia="zh-CN"/>
              </w:rPr>
              <w:t>）或设备租赁合同（租赁期须至少覆盖到2026年9月。）</w:t>
            </w:r>
            <w:r>
              <w:rPr>
                <w:rFonts w:hint="eastAsia" w:ascii="宋体" w:hAnsi="宋体" w:cs="宋体"/>
                <w:color w:val="auto"/>
                <w:sz w:val="24"/>
                <w:highlight w:val="none"/>
                <w:lang w:val="en-US" w:eastAsia="zh-CN"/>
              </w:rPr>
              <w:t>复印件，发票或合同的</w:t>
            </w:r>
            <w:r>
              <w:rPr>
                <w:rFonts w:hint="eastAsia" w:ascii="宋体" w:hAnsi="宋体" w:cs="宋体"/>
                <w:color w:val="auto"/>
                <w:sz w:val="24"/>
                <w:highlight w:val="none"/>
              </w:rPr>
              <w:t>设备名称</w:t>
            </w:r>
            <w:r>
              <w:rPr>
                <w:rFonts w:hint="eastAsia" w:ascii="宋体" w:hAnsi="宋体" w:cs="宋体"/>
                <w:color w:val="auto"/>
                <w:sz w:val="24"/>
                <w:highlight w:val="none"/>
                <w:lang w:val="en-US" w:eastAsia="zh-CN"/>
              </w:rPr>
              <w:t>均</w:t>
            </w:r>
            <w:r>
              <w:rPr>
                <w:rFonts w:hint="eastAsia" w:ascii="宋体" w:hAnsi="宋体" w:cs="宋体"/>
                <w:color w:val="auto"/>
                <w:sz w:val="24"/>
                <w:highlight w:val="none"/>
              </w:rPr>
              <w:t>须与上述一致</w:t>
            </w:r>
            <w:r>
              <w:rPr>
                <w:rFonts w:hint="eastAsia" w:ascii="宋体" w:hAnsi="宋体"/>
                <w:color w:val="auto"/>
                <w:sz w:val="24"/>
                <w:highlight w:val="none"/>
              </w:rPr>
              <w:t>。</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7887DD3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rPr>
              <w:t>3</w:t>
            </w:r>
          </w:p>
        </w:tc>
      </w:tr>
      <w:tr w14:paraId="57E308F3">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7CB7560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default" w:ascii="宋体" w:hAnsi="宋体" w:cs="宋体"/>
                <w:color w:val="auto"/>
                <w:sz w:val="24"/>
                <w:highlight w:val="none"/>
              </w:rPr>
              <w:t>1-15</w:t>
            </w:r>
          </w:p>
        </w:tc>
        <w:tc>
          <w:tcPr>
            <w:tcW w:w="7812" w:type="dxa"/>
            <w:tcBorders>
              <w:top w:val="single" w:color="auto" w:sz="4" w:space="0"/>
              <w:left w:val="single" w:color="auto" w:sz="4" w:space="0"/>
              <w:bottom w:val="single" w:color="auto" w:sz="4" w:space="0"/>
              <w:right w:val="single" w:color="auto" w:sz="4" w:space="0"/>
            </w:tcBorders>
            <w:noWrap w:val="0"/>
            <w:vAlign w:val="top"/>
          </w:tcPr>
          <w:p w14:paraId="78EDEE66">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sz w:val="24"/>
                <w:highlight w:val="none"/>
              </w:rPr>
              <w:t>根据投标</w:t>
            </w:r>
            <w:r>
              <w:rPr>
                <w:rFonts w:hint="eastAsia" w:ascii="宋体" w:hAnsi="宋体" w:cs="宋体"/>
                <w:color w:val="auto"/>
                <w:sz w:val="24"/>
                <w:highlight w:val="none"/>
                <w:lang w:val="en-US" w:eastAsia="zh-CN"/>
              </w:rPr>
              <w:t>产品制造商</w:t>
            </w:r>
            <w:r>
              <w:rPr>
                <w:rFonts w:hint="eastAsia" w:ascii="宋体" w:hAnsi="宋体" w:cs="宋体"/>
                <w:color w:val="auto"/>
                <w:sz w:val="24"/>
                <w:highlight w:val="none"/>
              </w:rPr>
              <w:t>具有的主要生产设备进行评价</w:t>
            </w:r>
            <w:r>
              <w:rPr>
                <w:rFonts w:hint="eastAsia" w:ascii="宋体" w:hAnsi="宋体" w:cs="宋体"/>
                <w:color w:val="auto"/>
                <w:sz w:val="24"/>
                <w:highlight w:val="none"/>
                <w:lang w:eastAsia="zh-CN"/>
              </w:rPr>
              <w:t>：</w:t>
            </w:r>
            <w:r>
              <w:rPr>
                <w:rFonts w:hint="eastAsia" w:ascii="宋体" w:hAnsi="宋体" w:cs="宋体"/>
                <w:color w:val="auto"/>
                <w:sz w:val="24"/>
                <w:highlight w:val="none"/>
              </w:rPr>
              <w:t>具体设备指：</w:t>
            </w:r>
            <w:r>
              <w:rPr>
                <w:rFonts w:hint="eastAsia" w:ascii="宋体" w:hAnsi="宋体"/>
                <w:color w:val="auto"/>
                <w:sz w:val="24"/>
                <w:highlight w:val="none"/>
              </w:rPr>
              <w:t>往复式全自动喷漆机、数控全自动喷漆机、UV干燥机</w:t>
            </w:r>
            <w:r>
              <w:rPr>
                <w:rFonts w:hint="eastAsia"/>
                <w:color w:val="auto"/>
                <w:sz w:val="24"/>
                <w:highlight w:val="none"/>
              </w:rPr>
              <w:t>设备</w:t>
            </w:r>
            <w:r>
              <w:rPr>
                <w:rFonts w:hint="eastAsia" w:ascii="宋体" w:hAnsi="宋体" w:cs="宋体"/>
                <w:color w:val="auto"/>
                <w:sz w:val="24"/>
                <w:highlight w:val="none"/>
              </w:rPr>
              <w:t>（注：前述设备名称可相近，但功能及作用应相同），</w:t>
            </w:r>
            <w:r>
              <w:rPr>
                <w:rFonts w:hint="eastAsia"/>
                <w:color w:val="auto"/>
                <w:sz w:val="24"/>
                <w:highlight w:val="none"/>
                <w:lang w:val="en-US" w:eastAsia="zh-CN"/>
              </w:rPr>
              <w:t>每</w:t>
            </w:r>
            <w:r>
              <w:rPr>
                <w:rFonts w:hint="eastAsia"/>
                <w:color w:val="auto"/>
                <w:sz w:val="24"/>
                <w:highlight w:val="none"/>
              </w:rPr>
              <w:t>具备上述</w:t>
            </w:r>
            <w:r>
              <w:rPr>
                <w:rFonts w:hint="eastAsia"/>
                <w:color w:val="auto"/>
                <w:sz w:val="24"/>
                <w:highlight w:val="none"/>
                <w:lang w:val="en-US" w:eastAsia="zh-CN"/>
              </w:rPr>
              <w:t>1项</w:t>
            </w:r>
            <w:r>
              <w:rPr>
                <w:rFonts w:hint="eastAsia"/>
                <w:color w:val="auto"/>
                <w:sz w:val="24"/>
                <w:highlight w:val="none"/>
              </w:rPr>
              <w:t>设备得</w:t>
            </w:r>
            <w:r>
              <w:rPr>
                <w:rFonts w:hint="eastAsia"/>
                <w:color w:val="auto"/>
                <w:sz w:val="24"/>
                <w:highlight w:val="none"/>
                <w:lang w:val="en-US" w:eastAsia="zh-CN"/>
              </w:rPr>
              <w:t>1</w:t>
            </w:r>
            <w:r>
              <w:rPr>
                <w:rFonts w:hint="eastAsia"/>
                <w:color w:val="auto"/>
                <w:sz w:val="24"/>
                <w:highlight w:val="none"/>
              </w:rPr>
              <w:t>分，</w:t>
            </w:r>
            <w:r>
              <w:rPr>
                <w:rFonts w:hint="eastAsia"/>
                <w:color w:val="auto"/>
                <w:sz w:val="24"/>
                <w:highlight w:val="none"/>
                <w:lang w:val="en-US" w:eastAsia="zh-CN"/>
              </w:rPr>
              <w:t>本项满分3分，</w:t>
            </w:r>
            <w:r>
              <w:rPr>
                <w:rFonts w:hint="eastAsia"/>
                <w:color w:val="auto"/>
                <w:sz w:val="24"/>
                <w:highlight w:val="none"/>
              </w:rPr>
              <w:t>不满足不得分。</w:t>
            </w:r>
            <w:r>
              <w:rPr>
                <w:rFonts w:hint="eastAsia" w:ascii="宋体" w:hAnsi="宋体" w:cs="宋体"/>
                <w:color w:val="auto"/>
                <w:sz w:val="24"/>
                <w:highlight w:val="none"/>
              </w:rPr>
              <w:t>需提供厂区生产线图片、加工设备清单、设备</w:t>
            </w:r>
            <w:r>
              <w:rPr>
                <w:rFonts w:hint="eastAsia" w:cs="宋体"/>
                <w:color w:val="auto"/>
                <w:sz w:val="24"/>
                <w:highlight w:val="none"/>
              </w:rPr>
              <w:t>购置</w:t>
            </w:r>
            <w:r>
              <w:rPr>
                <w:rFonts w:hint="eastAsia" w:ascii="宋体" w:hAnsi="宋体" w:cs="宋体"/>
                <w:color w:val="auto"/>
                <w:sz w:val="24"/>
                <w:highlight w:val="none"/>
              </w:rPr>
              <w:t>发票复印件（发票复印件上必须有二维码且保证扫描结果与发票信息一致）或设备租赁合同</w:t>
            </w:r>
            <w:r>
              <w:rPr>
                <w:rFonts w:hint="eastAsia" w:ascii="宋体" w:hAnsi="宋体" w:cs="宋体"/>
                <w:color w:val="auto"/>
                <w:sz w:val="24"/>
                <w:highlight w:val="none"/>
                <w:lang w:eastAsia="zh-CN"/>
              </w:rPr>
              <w:t>（租赁期须至少覆盖到2026年9月。）</w:t>
            </w:r>
            <w:r>
              <w:rPr>
                <w:rFonts w:hint="eastAsia" w:ascii="宋体" w:hAnsi="宋体" w:cs="宋体"/>
                <w:color w:val="auto"/>
                <w:sz w:val="24"/>
                <w:highlight w:val="none"/>
              </w:rPr>
              <w:t>复印件，发票或合同的设备名称均须与上述一致</w:t>
            </w:r>
            <w:r>
              <w:rPr>
                <w:rFonts w:hint="eastAsia" w:ascii="宋体" w:hAnsi="宋体"/>
                <w:color w:val="auto"/>
                <w:sz w:val="24"/>
                <w:highlight w:val="none"/>
              </w:rPr>
              <w:t>。</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1563308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rPr>
              <w:t>3</w:t>
            </w:r>
          </w:p>
        </w:tc>
      </w:tr>
      <w:tr w14:paraId="019A4B09">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1D6EA0B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default" w:ascii="宋体" w:hAnsi="宋体" w:cs="宋体"/>
                <w:color w:val="auto"/>
                <w:sz w:val="24"/>
                <w:highlight w:val="none"/>
              </w:rPr>
              <w:t>1-16</w:t>
            </w:r>
          </w:p>
        </w:tc>
        <w:tc>
          <w:tcPr>
            <w:tcW w:w="7812" w:type="dxa"/>
            <w:tcBorders>
              <w:top w:val="single" w:color="auto" w:sz="4" w:space="0"/>
              <w:left w:val="single" w:color="auto" w:sz="4" w:space="0"/>
              <w:bottom w:val="single" w:color="auto" w:sz="4" w:space="0"/>
              <w:right w:val="single" w:color="auto" w:sz="4" w:space="0"/>
            </w:tcBorders>
            <w:noWrap w:val="0"/>
            <w:vAlign w:val="top"/>
          </w:tcPr>
          <w:p w14:paraId="7F4EB4C1">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sz w:val="24"/>
                <w:highlight w:val="none"/>
              </w:rPr>
              <w:t>根据投标</w:t>
            </w:r>
            <w:r>
              <w:rPr>
                <w:rFonts w:hint="eastAsia" w:ascii="宋体" w:hAnsi="宋体" w:cs="宋体"/>
                <w:color w:val="auto"/>
                <w:sz w:val="24"/>
                <w:highlight w:val="none"/>
                <w:lang w:val="en-US" w:eastAsia="zh-CN"/>
              </w:rPr>
              <w:t>产品制造商</w:t>
            </w:r>
            <w:r>
              <w:rPr>
                <w:rFonts w:hint="eastAsia" w:ascii="宋体" w:hAnsi="宋体" w:cs="宋体"/>
                <w:color w:val="auto"/>
                <w:sz w:val="24"/>
                <w:highlight w:val="none"/>
              </w:rPr>
              <w:t>具有的主要生产设备进行评价</w:t>
            </w:r>
            <w:r>
              <w:rPr>
                <w:rFonts w:hint="eastAsia" w:ascii="宋体" w:hAnsi="宋体" w:cs="宋体"/>
                <w:color w:val="auto"/>
                <w:sz w:val="24"/>
                <w:highlight w:val="none"/>
                <w:lang w:eastAsia="zh-CN"/>
              </w:rPr>
              <w:t>：</w:t>
            </w:r>
            <w:r>
              <w:rPr>
                <w:rFonts w:hint="eastAsia" w:ascii="宋体" w:hAnsi="宋体" w:cs="宋体"/>
                <w:color w:val="auto"/>
                <w:sz w:val="24"/>
                <w:highlight w:val="none"/>
              </w:rPr>
              <w:t>具体设备指：</w:t>
            </w:r>
            <w:r>
              <w:rPr>
                <w:rFonts w:hint="eastAsia" w:ascii="宋体" w:hAnsi="宋体"/>
                <w:color w:val="auto"/>
                <w:sz w:val="24"/>
                <w:highlight w:val="none"/>
              </w:rPr>
              <w:t>OTC焊接机器人、“金属自动悬链抛丸喷砂流水线”除锈设备、</w:t>
            </w:r>
            <w:r>
              <w:rPr>
                <w:rFonts w:hint="eastAsia" w:ascii="宋体" w:hAnsi="宋体" w:cs="宋体"/>
                <w:color w:val="auto"/>
                <w:sz w:val="24"/>
                <w:highlight w:val="none"/>
              </w:rPr>
              <w:t>专业管材激光切管机（注：前述设备名称可相近，但功能及作用应相同），</w:t>
            </w:r>
            <w:r>
              <w:rPr>
                <w:rFonts w:hint="eastAsia"/>
                <w:color w:val="auto"/>
                <w:sz w:val="24"/>
                <w:highlight w:val="none"/>
                <w:lang w:val="en-US" w:eastAsia="zh-CN"/>
              </w:rPr>
              <w:t>每</w:t>
            </w:r>
            <w:r>
              <w:rPr>
                <w:rFonts w:hint="eastAsia"/>
                <w:color w:val="auto"/>
                <w:sz w:val="24"/>
                <w:highlight w:val="none"/>
              </w:rPr>
              <w:t>具备上述</w:t>
            </w:r>
            <w:r>
              <w:rPr>
                <w:rFonts w:hint="eastAsia"/>
                <w:color w:val="auto"/>
                <w:sz w:val="24"/>
                <w:highlight w:val="none"/>
                <w:lang w:val="en-US" w:eastAsia="zh-CN"/>
              </w:rPr>
              <w:t>1项</w:t>
            </w:r>
            <w:r>
              <w:rPr>
                <w:rFonts w:hint="eastAsia"/>
                <w:color w:val="auto"/>
                <w:sz w:val="24"/>
                <w:highlight w:val="none"/>
              </w:rPr>
              <w:t>设备得</w:t>
            </w:r>
            <w:r>
              <w:rPr>
                <w:rFonts w:hint="eastAsia"/>
                <w:color w:val="auto"/>
                <w:sz w:val="24"/>
                <w:highlight w:val="none"/>
                <w:lang w:val="en-US" w:eastAsia="zh-CN"/>
              </w:rPr>
              <w:t>1</w:t>
            </w:r>
            <w:r>
              <w:rPr>
                <w:rFonts w:hint="eastAsia"/>
                <w:color w:val="auto"/>
                <w:sz w:val="24"/>
                <w:highlight w:val="none"/>
              </w:rPr>
              <w:t>分，</w:t>
            </w:r>
            <w:r>
              <w:rPr>
                <w:rFonts w:hint="eastAsia"/>
                <w:color w:val="auto"/>
                <w:sz w:val="24"/>
                <w:highlight w:val="none"/>
                <w:lang w:val="en-US" w:eastAsia="zh-CN"/>
              </w:rPr>
              <w:t>本项满分3分，</w:t>
            </w:r>
            <w:r>
              <w:rPr>
                <w:rFonts w:hint="eastAsia"/>
                <w:color w:val="auto"/>
                <w:sz w:val="24"/>
                <w:highlight w:val="none"/>
              </w:rPr>
              <w:t>不满足不得分。</w:t>
            </w:r>
            <w:r>
              <w:rPr>
                <w:rFonts w:hint="eastAsia" w:ascii="宋体" w:hAnsi="宋体" w:cs="宋体"/>
                <w:color w:val="auto"/>
                <w:sz w:val="24"/>
                <w:highlight w:val="none"/>
              </w:rPr>
              <w:t>需提供厂区生产线图片、加工设备清单、设备</w:t>
            </w:r>
            <w:r>
              <w:rPr>
                <w:rFonts w:hint="eastAsia" w:cs="宋体"/>
                <w:color w:val="auto"/>
                <w:sz w:val="24"/>
                <w:highlight w:val="none"/>
              </w:rPr>
              <w:t>购置</w:t>
            </w:r>
            <w:r>
              <w:rPr>
                <w:rFonts w:hint="eastAsia" w:ascii="宋体" w:hAnsi="宋体" w:cs="宋体"/>
                <w:color w:val="auto"/>
                <w:sz w:val="24"/>
                <w:highlight w:val="none"/>
              </w:rPr>
              <w:t>发票复印件（发票复印件上必须有二维码且保证扫描结果与发票信息一致</w:t>
            </w:r>
            <w:r>
              <w:rPr>
                <w:rFonts w:hint="eastAsia" w:ascii="宋体" w:hAnsi="宋体" w:cs="宋体"/>
                <w:color w:val="auto"/>
                <w:sz w:val="24"/>
                <w:highlight w:val="none"/>
                <w:lang w:eastAsia="zh-CN"/>
              </w:rPr>
              <w:t>）或设备租赁合同（租赁期须至少覆盖到2026年9月。）</w:t>
            </w:r>
            <w:r>
              <w:rPr>
                <w:rFonts w:hint="eastAsia" w:ascii="宋体" w:hAnsi="宋体" w:cs="宋体"/>
                <w:color w:val="auto"/>
                <w:sz w:val="24"/>
                <w:highlight w:val="none"/>
                <w:lang w:val="en-US" w:eastAsia="zh-CN"/>
              </w:rPr>
              <w:t>复印件，发票或合同的</w:t>
            </w:r>
            <w:r>
              <w:rPr>
                <w:rFonts w:hint="eastAsia" w:ascii="宋体" w:hAnsi="宋体" w:cs="宋体"/>
                <w:color w:val="auto"/>
                <w:sz w:val="24"/>
                <w:highlight w:val="none"/>
              </w:rPr>
              <w:t>设备名称</w:t>
            </w:r>
            <w:r>
              <w:rPr>
                <w:rFonts w:hint="eastAsia" w:ascii="宋体" w:hAnsi="宋体" w:cs="宋体"/>
                <w:color w:val="auto"/>
                <w:sz w:val="24"/>
                <w:highlight w:val="none"/>
                <w:lang w:val="en-US" w:eastAsia="zh-CN"/>
              </w:rPr>
              <w:t>均</w:t>
            </w:r>
            <w:r>
              <w:rPr>
                <w:rFonts w:hint="eastAsia" w:ascii="宋体" w:hAnsi="宋体" w:cs="宋体"/>
                <w:color w:val="auto"/>
                <w:sz w:val="24"/>
                <w:highlight w:val="none"/>
              </w:rPr>
              <w:t>须与上述一致</w:t>
            </w:r>
            <w:r>
              <w:rPr>
                <w:rFonts w:hint="eastAsia" w:ascii="宋体" w:hAnsi="宋体"/>
                <w:color w:val="auto"/>
                <w:sz w:val="24"/>
                <w:highlight w:val="none"/>
              </w:rPr>
              <w:t>。</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4539886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rPr>
              <w:t>3</w:t>
            </w:r>
          </w:p>
        </w:tc>
      </w:tr>
      <w:tr w14:paraId="65F69469">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7A78D80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default" w:ascii="宋体" w:hAnsi="宋体" w:cs="宋体"/>
                <w:color w:val="auto"/>
                <w:sz w:val="24"/>
                <w:highlight w:val="none"/>
              </w:rPr>
              <w:t>1-17</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3A6334D6">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sz w:val="24"/>
                <w:highlight w:val="none"/>
              </w:rPr>
              <w:t>样品评审：根据投标人所提供的“床立柱小样”、“床长横梁小样”样品用材的符合性、整体功能、焊接是否牢靠，有无脱䏷、虚焊、毛刺、飞溅、裂纹等缺陷，涂层部分是否光滑平整、色泽一致，有无流挂、疙瘩、皱皮、飞漆、漏喷、锈蚀等评价：</w:t>
            </w:r>
          </w:p>
          <w:p w14:paraId="0073414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left"/>
              <w:rPr>
                <w:rFonts w:hint="eastAsia" w:ascii="宋体" w:hAnsi="宋体" w:cs="宋体"/>
                <w:color w:val="auto"/>
                <w:sz w:val="24"/>
                <w:highlight w:val="none"/>
              </w:rPr>
            </w:pPr>
            <w:r>
              <w:rPr>
                <w:rFonts w:hint="eastAsia" w:ascii="宋体" w:hAnsi="宋体" w:cs="宋体"/>
                <w:color w:val="auto"/>
                <w:sz w:val="24"/>
                <w:highlight w:val="none"/>
              </w:rPr>
              <w:t>提供样品完全符合的得2分，</w:t>
            </w:r>
            <w:r>
              <w:rPr>
                <w:rFonts w:hint="eastAsia" w:ascii="宋体" w:hAnsi="宋体" w:cs="宋体"/>
                <w:color w:val="auto"/>
                <w:sz w:val="24"/>
                <w:szCs w:val="24"/>
                <w:highlight w:val="none"/>
                <w:lang w:eastAsia="zh-CN"/>
              </w:rPr>
              <w:t>样品的外观、工艺有细微缺陷但不影响产品使用的</w:t>
            </w:r>
            <w:r>
              <w:rPr>
                <w:rFonts w:hint="eastAsia" w:ascii="宋体" w:hAnsi="宋体" w:cs="宋体"/>
                <w:color w:val="auto"/>
                <w:sz w:val="24"/>
                <w:szCs w:val="24"/>
                <w:highlight w:val="none"/>
                <w:lang w:val="en-US" w:eastAsia="zh-CN"/>
              </w:rPr>
              <w:t>得1.6</w:t>
            </w:r>
            <w:r>
              <w:rPr>
                <w:rFonts w:hint="eastAsia" w:ascii="宋体" w:hAnsi="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cs="宋体"/>
                <w:color w:val="auto"/>
                <w:sz w:val="24"/>
                <w:highlight w:val="none"/>
              </w:rPr>
              <w:t>否则不得分。</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09692FB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cs="宋体"/>
                <w:bCs/>
                <w:color w:val="auto"/>
                <w:sz w:val="24"/>
                <w:highlight w:val="none"/>
              </w:rPr>
            </w:pPr>
            <w:r>
              <w:rPr>
                <w:rFonts w:hint="eastAsia" w:ascii="宋体" w:hAnsi="宋体" w:cs="宋体"/>
                <w:bCs/>
                <w:color w:val="auto"/>
                <w:sz w:val="24"/>
                <w:highlight w:val="none"/>
              </w:rPr>
              <w:t>2</w:t>
            </w:r>
          </w:p>
        </w:tc>
      </w:tr>
      <w:tr w14:paraId="13E621AD">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7063470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default" w:ascii="宋体" w:hAnsi="宋体" w:cs="宋体"/>
                <w:color w:val="auto"/>
                <w:sz w:val="24"/>
                <w:highlight w:val="none"/>
              </w:rPr>
              <w:t>1-18</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61CDE230">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sz w:val="24"/>
                <w:highlight w:val="none"/>
              </w:rPr>
              <w:t>样品评审：根据投标人所提供的“床卡扣”样品用材的符合性、整体功能、焊接是否牢靠，有无脱䏷、虚焊、毛刺、飞溅、裂纹等缺陷，涂层部分是否光滑平整、色泽一致，有无流挂、疙瘩、皱皮、飞漆、漏喷、锈蚀等评价：提供样品完全符合的得2分，</w:t>
            </w:r>
            <w:r>
              <w:rPr>
                <w:rFonts w:hint="eastAsia" w:ascii="宋体" w:hAnsi="宋体" w:cs="宋体"/>
                <w:color w:val="auto"/>
                <w:sz w:val="24"/>
                <w:szCs w:val="24"/>
                <w:highlight w:val="none"/>
                <w:lang w:eastAsia="zh-CN"/>
              </w:rPr>
              <w:t>样品的外观、工艺有细微缺陷但不影响产品使用的</w:t>
            </w:r>
            <w:r>
              <w:rPr>
                <w:rFonts w:hint="eastAsia" w:ascii="宋体" w:hAnsi="宋体" w:cs="宋体"/>
                <w:color w:val="auto"/>
                <w:sz w:val="24"/>
                <w:szCs w:val="24"/>
                <w:highlight w:val="none"/>
                <w:lang w:val="en-US" w:eastAsia="zh-CN"/>
              </w:rPr>
              <w:t>得1.6</w:t>
            </w:r>
            <w:r>
              <w:rPr>
                <w:rFonts w:hint="eastAsia" w:ascii="宋体" w:hAnsi="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cs="宋体"/>
                <w:color w:val="auto"/>
                <w:sz w:val="24"/>
                <w:highlight w:val="none"/>
              </w:rPr>
              <w:t>否则不得分。</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07D94152">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cs="宋体"/>
                <w:bCs/>
                <w:color w:val="auto"/>
                <w:sz w:val="24"/>
                <w:highlight w:val="none"/>
              </w:rPr>
            </w:pPr>
            <w:r>
              <w:rPr>
                <w:rFonts w:hint="eastAsia" w:ascii="宋体" w:hAnsi="宋体" w:cs="宋体"/>
                <w:bCs/>
                <w:color w:val="auto"/>
                <w:sz w:val="24"/>
                <w:highlight w:val="none"/>
              </w:rPr>
              <w:t>2</w:t>
            </w:r>
          </w:p>
        </w:tc>
      </w:tr>
      <w:tr w14:paraId="38113A10">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426337B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default" w:ascii="宋体" w:hAnsi="宋体" w:cs="宋体"/>
                <w:color w:val="auto"/>
                <w:sz w:val="24"/>
                <w:highlight w:val="none"/>
              </w:rPr>
              <w:t>1-19</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35B570C8">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sz w:val="24"/>
                <w:highlight w:val="none"/>
              </w:rPr>
              <w:t>样品评审：根据投标人所提供的“爬梯踏板”样品用材的符合性、整体功能、焊接是否牢靠，有无脱䏷、虚焊、毛刺、飞溅、裂纹等缺陷，涂层部分是否光滑平整、色泽一致，有无流挂、疙瘩、皱皮、飞漆、漏喷、锈蚀等评价：提供样品完全符合的得2分，</w:t>
            </w:r>
            <w:r>
              <w:rPr>
                <w:rFonts w:hint="eastAsia" w:ascii="宋体" w:hAnsi="宋体" w:cs="宋体"/>
                <w:color w:val="auto"/>
                <w:sz w:val="24"/>
                <w:szCs w:val="24"/>
                <w:highlight w:val="none"/>
                <w:lang w:eastAsia="zh-CN"/>
              </w:rPr>
              <w:t>样品的外观、工艺有细微缺陷但不影响产品使用的</w:t>
            </w:r>
            <w:r>
              <w:rPr>
                <w:rFonts w:hint="eastAsia" w:ascii="宋体" w:hAnsi="宋体" w:cs="宋体"/>
                <w:color w:val="auto"/>
                <w:sz w:val="24"/>
                <w:szCs w:val="24"/>
                <w:highlight w:val="none"/>
                <w:lang w:val="en-US" w:eastAsia="zh-CN"/>
              </w:rPr>
              <w:t>得1.6</w:t>
            </w:r>
            <w:r>
              <w:rPr>
                <w:rFonts w:hint="eastAsia" w:ascii="宋体" w:hAnsi="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cs="宋体"/>
                <w:color w:val="auto"/>
                <w:sz w:val="24"/>
                <w:highlight w:val="none"/>
              </w:rPr>
              <w:t>否则不得分。</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480FCCC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cs="宋体"/>
                <w:bCs/>
                <w:color w:val="auto"/>
                <w:sz w:val="24"/>
                <w:highlight w:val="none"/>
              </w:rPr>
            </w:pPr>
            <w:r>
              <w:rPr>
                <w:rFonts w:hint="eastAsia" w:ascii="宋体" w:hAnsi="宋体" w:cs="宋体"/>
                <w:bCs/>
                <w:color w:val="auto"/>
                <w:sz w:val="24"/>
                <w:highlight w:val="none"/>
              </w:rPr>
              <w:t>2</w:t>
            </w:r>
          </w:p>
        </w:tc>
      </w:tr>
      <w:tr w14:paraId="52E68830">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758EA8A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default" w:ascii="宋体" w:hAnsi="宋体" w:cs="宋体"/>
                <w:color w:val="auto"/>
                <w:sz w:val="24"/>
                <w:highlight w:val="none"/>
              </w:rPr>
              <w:t>1-20</w:t>
            </w:r>
          </w:p>
        </w:tc>
        <w:tc>
          <w:tcPr>
            <w:tcW w:w="7812" w:type="dxa"/>
            <w:tcBorders>
              <w:top w:val="single" w:color="auto" w:sz="4" w:space="0"/>
              <w:left w:val="single" w:color="auto" w:sz="4" w:space="0"/>
              <w:bottom w:val="single" w:color="auto" w:sz="4" w:space="0"/>
              <w:right w:val="single" w:color="auto" w:sz="4" w:space="0"/>
            </w:tcBorders>
            <w:noWrap w:val="0"/>
            <w:vAlign w:val="center"/>
          </w:tcPr>
          <w:p w14:paraId="41FCA0E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left"/>
              <w:rPr>
                <w:rFonts w:hint="eastAsia" w:ascii="宋体" w:hAnsi="宋体" w:cs="宋体"/>
                <w:color w:val="auto"/>
                <w:sz w:val="24"/>
                <w:highlight w:val="none"/>
              </w:rPr>
            </w:pPr>
            <w:r>
              <w:rPr>
                <w:rFonts w:hint="eastAsia" w:ascii="宋体" w:hAnsi="宋体" w:cs="宋体"/>
                <w:color w:val="auto"/>
                <w:sz w:val="24"/>
                <w:highlight w:val="none"/>
              </w:rPr>
              <w:t>样品评审：根据投标人所提供的“合页”样品用材的符合性、整体功能、焊接是否牢靠，有无脱䏷、虚焊、毛刺、飞溅、裂纹等缺陷，涂层部分是否光滑平整、色泽一致，有无流挂、疙瘩、皱皮、飞漆、漏喷、锈蚀等评价：提供样品完全符合的得2分，</w:t>
            </w:r>
            <w:r>
              <w:rPr>
                <w:rFonts w:hint="eastAsia" w:ascii="宋体" w:hAnsi="宋体" w:cs="宋体"/>
                <w:color w:val="auto"/>
                <w:sz w:val="24"/>
                <w:szCs w:val="24"/>
                <w:highlight w:val="none"/>
                <w:lang w:eastAsia="zh-CN"/>
              </w:rPr>
              <w:t>样品的外观、工艺有细微缺陷但不影响产品使用的</w:t>
            </w:r>
            <w:r>
              <w:rPr>
                <w:rFonts w:hint="eastAsia" w:ascii="宋体" w:hAnsi="宋体" w:cs="宋体"/>
                <w:color w:val="auto"/>
                <w:sz w:val="24"/>
                <w:szCs w:val="24"/>
                <w:highlight w:val="none"/>
                <w:lang w:val="en-US" w:eastAsia="zh-CN"/>
              </w:rPr>
              <w:t>得1.6</w:t>
            </w:r>
            <w:r>
              <w:rPr>
                <w:rFonts w:hint="eastAsia" w:ascii="宋体" w:hAnsi="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cs="宋体"/>
                <w:color w:val="auto"/>
                <w:sz w:val="24"/>
                <w:highlight w:val="none"/>
              </w:rPr>
              <w:t>否则不得分。</w:t>
            </w:r>
          </w:p>
        </w:tc>
        <w:tc>
          <w:tcPr>
            <w:tcW w:w="892" w:type="dxa"/>
            <w:tcBorders>
              <w:top w:val="single" w:color="auto" w:sz="4" w:space="0"/>
              <w:left w:val="single" w:color="auto" w:sz="4" w:space="0"/>
              <w:bottom w:val="single" w:color="auto" w:sz="4" w:space="0"/>
              <w:right w:val="single" w:color="auto" w:sz="4" w:space="0"/>
            </w:tcBorders>
            <w:noWrap w:val="0"/>
            <w:vAlign w:val="center"/>
          </w:tcPr>
          <w:p w14:paraId="7298511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cs="宋体"/>
                <w:bCs/>
                <w:color w:val="auto"/>
                <w:sz w:val="24"/>
                <w:highlight w:val="none"/>
              </w:rPr>
            </w:pPr>
            <w:r>
              <w:rPr>
                <w:rFonts w:hint="eastAsia" w:ascii="宋体" w:hAnsi="宋体" w:cs="宋体"/>
                <w:bCs/>
                <w:color w:val="auto"/>
                <w:sz w:val="24"/>
                <w:highlight w:val="none"/>
              </w:rPr>
              <w:t>2</w:t>
            </w:r>
          </w:p>
        </w:tc>
      </w:tr>
    </w:tbl>
    <w:p w14:paraId="184A384F">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73B38790">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分评分法，商务评分考虑下列因素：</w:t>
      </w:r>
    </w:p>
    <w:tbl>
      <w:tblPr>
        <w:tblStyle w:val="12"/>
        <w:tblW w:w="9538" w:type="dxa"/>
        <w:jc w:val="center"/>
        <w:tblLayout w:type="fixed"/>
        <w:tblCellMar>
          <w:top w:w="0" w:type="dxa"/>
          <w:left w:w="108" w:type="dxa"/>
          <w:bottom w:w="0" w:type="dxa"/>
          <w:right w:w="108" w:type="dxa"/>
        </w:tblCellMar>
      </w:tblPr>
      <w:tblGrid>
        <w:gridCol w:w="762"/>
        <w:gridCol w:w="7881"/>
        <w:gridCol w:w="895"/>
      </w:tblGrid>
      <w:tr w14:paraId="58FB2506">
        <w:tblPrEx>
          <w:tblCellMar>
            <w:top w:w="0" w:type="dxa"/>
            <w:left w:w="108" w:type="dxa"/>
            <w:bottom w:w="0" w:type="dxa"/>
            <w:right w:w="108" w:type="dxa"/>
          </w:tblCellMar>
        </w:tblPrEx>
        <w:trPr>
          <w:trHeight w:val="865" w:hRule="atLeast"/>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75A72ACF">
            <w:pPr>
              <w:keepNext w:val="0"/>
              <w:keepLines w:val="0"/>
              <w:suppressLineNumbers w:val="0"/>
              <w:spacing w:before="0" w:beforeAutospacing="0" w:after="0" w:afterAutospacing="0" w:line="360" w:lineRule="auto"/>
              <w:ind w:left="0" w:right="0"/>
              <w:jc w:val="center"/>
              <w:rPr>
                <w:rFonts w:hint="default" w:ascii="宋体" w:hAnsi="宋体" w:cs="宋体"/>
                <w:b/>
                <w:bCs/>
                <w:color w:val="auto"/>
                <w:sz w:val="24"/>
                <w:highlight w:val="none"/>
              </w:rPr>
            </w:pPr>
            <w:r>
              <w:rPr>
                <w:rFonts w:hint="eastAsia" w:ascii="宋体" w:hAnsi="宋体" w:cs="宋体"/>
                <w:b/>
                <w:bCs/>
                <w:color w:val="auto"/>
                <w:sz w:val="24"/>
                <w:highlight w:val="none"/>
              </w:rPr>
              <w:t>序号</w:t>
            </w:r>
          </w:p>
        </w:tc>
        <w:tc>
          <w:tcPr>
            <w:tcW w:w="7881" w:type="dxa"/>
            <w:tcBorders>
              <w:top w:val="single" w:color="auto" w:sz="4" w:space="0"/>
              <w:left w:val="single" w:color="auto" w:sz="4" w:space="0"/>
              <w:bottom w:val="single" w:color="auto" w:sz="4" w:space="0"/>
              <w:right w:val="single" w:color="auto" w:sz="4" w:space="0"/>
            </w:tcBorders>
            <w:noWrap w:val="0"/>
            <w:vAlign w:val="center"/>
          </w:tcPr>
          <w:p w14:paraId="3ACF5A50">
            <w:pPr>
              <w:keepNext w:val="0"/>
              <w:keepLines w:val="0"/>
              <w:suppressLineNumbers w:val="0"/>
              <w:spacing w:before="0" w:beforeAutospacing="0" w:after="0" w:afterAutospacing="0" w:line="360" w:lineRule="auto"/>
              <w:ind w:left="0" w:right="0"/>
              <w:jc w:val="center"/>
              <w:rPr>
                <w:rFonts w:hint="default" w:ascii="宋体" w:hAnsi="宋体" w:cs="宋体"/>
                <w:b/>
                <w:bCs/>
                <w:color w:val="auto"/>
                <w:sz w:val="24"/>
                <w:highlight w:val="none"/>
              </w:rPr>
            </w:pPr>
            <w:r>
              <w:rPr>
                <w:rFonts w:hint="eastAsia" w:ascii="宋体" w:hAnsi="宋体" w:cs="宋体"/>
                <w:b/>
                <w:bCs/>
                <w:color w:val="auto"/>
                <w:sz w:val="24"/>
                <w:highlight w:val="none"/>
              </w:rPr>
              <w:t>细则内容</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3348767F">
            <w:pPr>
              <w:keepNext w:val="0"/>
              <w:keepLines w:val="0"/>
              <w:suppressLineNumbers w:val="0"/>
              <w:spacing w:before="0" w:beforeAutospacing="0" w:after="0" w:afterAutospacing="0" w:line="360" w:lineRule="auto"/>
              <w:ind w:left="0" w:right="0"/>
              <w:jc w:val="center"/>
              <w:rPr>
                <w:rFonts w:hint="default" w:ascii="宋体" w:hAnsi="宋体" w:cs="宋体"/>
                <w:b/>
                <w:bCs/>
                <w:color w:val="auto"/>
                <w:sz w:val="24"/>
                <w:highlight w:val="none"/>
              </w:rPr>
            </w:pPr>
            <w:r>
              <w:rPr>
                <w:rFonts w:hint="eastAsia" w:ascii="宋体" w:hAnsi="宋体" w:cs="宋体"/>
                <w:b/>
                <w:bCs/>
                <w:color w:val="auto"/>
                <w:sz w:val="24"/>
                <w:highlight w:val="none"/>
              </w:rPr>
              <w:t>满分</w:t>
            </w:r>
          </w:p>
          <w:p w14:paraId="73407F2B">
            <w:pPr>
              <w:keepNext w:val="0"/>
              <w:keepLines w:val="0"/>
              <w:suppressLineNumbers w:val="0"/>
              <w:spacing w:before="0" w:beforeAutospacing="0" w:after="0" w:afterAutospacing="0" w:line="360" w:lineRule="auto"/>
              <w:ind w:left="0" w:right="0"/>
              <w:jc w:val="center"/>
              <w:rPr>
                <w:rFonts w:hint="default" w:ascii="宋体" w:hAnsi="宋体" w:cs="宋体"/>
                <w:b/>
                <w:bCs/>
                <w:color w:val="auto"/>
                <w:sz w:val="24"/>
                <w:highlight w:val="none"/>
              </w:rPr>
            </w:pPr>
            <w:r>
              <w:rPr>
                <w:rFonts w:hint="eastAsia" w:ascii="宋体" w:hAnsi="宋体" w:cs="宋体"/>
                <w:b/>
                <w:bCs/>
                <w:color w:val="auto"/>
                <w:sz w:val="24"/>
                <w:highlight w:val="none"/>
              </w:rPr>
              <w:t>分值</w:t>
            </w:r>
          </w:p>
        </w:tc>
      </w:tr>
      <w:tr w14:paraId="19C59818">
        <w:tblPrEx>
          <w:tblCellMar>
            <w:top w:w="0" w:type="dxa"/>
            <w:left w:w="108" w:type="dxa"/>
            <w:bottom w:w="0" w:type="dxa"/>
            <w:right w:w="108" w:type="dxa"/>
          </w:tblCellMar>
        </w:tblPrEx>
        <w:trPr>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329CD151">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highlight w:val="none"/>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1</w:t>
            </w:r>
          </w:p>
        </w:tc>
        <w:tc>
          <w:tcPr>
            <w:tcW w:w="7881" w:type="dxa"/>
            <w:tcBorders>
              <w:top w:val="single" w:color="auto" w:sz="4" w:space="0"/>
              <w:left w:val="single" w:color="auto" w:sz="4" w:space="0"/>
              <w:bottom w:val="single" w:color="auto" w:sz="4" w:space="0"/>
              <w:right w:val="single" w:color="auto" w:sz="4" w:space="0"/>
            </w:tcBorders>
            <w:noWrap w:val="0"/>
            <w:vAlign w:val="center"/>
          </w:tcPr>
          <w:p w14:paraId="45CDEEFF">
            <w:pPr>
              <w:keepNext w:val="0"/>
              <w:keepLines w:val="0"/>
              <w:suppressLineNumbers w:val="0"/>
              <w:spacing w:before="0" w:beforeAutospacing="0" w:after="0" w:afterAutospacing="0" w:line="360" w:lineRule="auto"/>
              <w:ind w:left="0" w:right="0"/>
              <w:rPr>
                <w:rFonts w:hint="default" w:ascii="宋体" w:hAnsi="宋体" w:cs="宋体"/>
                <w:color w:val="auto"/>
                <w:sz w:val="24"/>
                <w:highlight w:val="none"/>
              </w:rPr>
            </w:pPr>
            <w:r>
              <w:rPr>
                <w:rFonts w:hint="eastAsia" w:ascii="宋体" w:hAnsi="宋体" w:cs="宋体"/>
                <w:color w:val="auto"/>
                <w:sz w:val="24"/>
                <w:highlight w:val="none"/>
              </w:rPr>
              <w:t>投标</w:t>
            </w:r>
            <w:r>
              <w:rPr>
                <w:rFonts w:hint="eastAsia" w:ascii="宋体" w:hAnsi="宋体" w:cs="宋体"/>
                <w:color w:val="auto"/>
                <w:sz w:val="24"/>
                <w:highlight w:val="none"/>
                <w:lang w:val="en-US" w:eastAsia="zh-CN"/>
              </w:rPr>
              <w:t>产品制造商</w:t>
            </w:r>
            <w:r>
              <w:rPr>
                <w:rFonts w:hint="eastAsia" w:ascii="宋体" w:hAnsi="宋体" w:cs="宋体"/>
                <w:color w:val="auto"/>
                <w:kern w:val="0"/>
                <w:sz w:val="24"/>
                <w:highlight w:val="none"/>
              </w:rPr>
              <w:t>具有有效期内的</w:t>
            </w:r>
            <w:r>
              <w:rPr>
                <w:rFonts w:hint="eastAsia" w:ascii="宋体" w:hAnsi="宋体" w:cs="宋体"/>
                <w:color w:val="auto"/>
                <w:sz w:val="24"/>
                <w:highlight w:val="none"/>
              </w:rPr>
              <w:t>质量管理体系认证、环境管理体系认证、职业健康安全管理体系认证，并书面承诺证书可在中国国家认证认可监督管理委员会网站（http://www.cnca.gov.cn/）查询到，投标人须提供有效认证证书复印件及书面承诺函（格式自拟）并加盖公章，否则不得分。</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11198B6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bCs/>
                <w:color w:val="auto"/>
                <w:sz w:val="24"/>
                <w:highlight w:val="none"/>
              </w:rPr>
              <w:t>3</w:t>
            </w:r>
          </w:p>
        </w:tc>
      </w:tr>
      <w:tr w14:paraId="750DF89E">
        <w:tblPrEx>
          <w:tblCellMar>
            <w:top w:w="0" w:type="dxa"/>
            <w:left w:w="108" w:type="dxa"/>
            <w:bottom w:w="0" w:type="dxa"/>
            <w:right w:w="108" w:type="dxa"/>
          </w:tblCellMar>
        </w:tblPrEx>
        <w:trPr>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5D22462F">
            <w:pPr>
              <w:keepNext w:val="0"/>
              <w:keepLines w:val="0"/>
              <w:suppressLineNumbers w:val="0"/>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2</w:t>
            </w:r>
          </w:p>
        </w:tc>
        <w:tc>
          <w:tcPr>
            <w:tcW w:w="7881" w:type="dxa"/>
            <w:tcBorders>
              <w:top w:val="single" w:color="auto" w:sz="4" w:space="0"/>
              <w:left w:val="single" w:color="auto" w:sz="4" w:space="0"/>
              <w:bottom w:val="single" w:color="auto" w:sz="4" w:space="0"/>
              <w:right w:val="single" w:color="auto" w:sz="4" w:space="0"/>
            </w:tcBorders>
            <w:noWrap w:val="0"/>
            <w:vAlign w:val="center"/>
          </w:tcPr>
          <w:p w14:paraId="1EE1086B">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sz w:val="24"/>
                <w:highlight w:val="none"/>
              </w:rPr>
              <w:t>投标</w:t>
            </w:r>
            <w:r>
              <w:rPr>
                <w:rFonts w:hint="eastAsia" w:ascii="宋体" w:hAnsi="宋体" w:cs="宋体"/>
                <w:color w:val="auto"/>
                <w:sz w:val="24"/>
                <w:highlight w:val="none"/>
                <w:lang w:val="en-US" w:eastAsia="zh-CN"/>
              </w:rPr>
              <w:t>产品制造商</w:t>
            </w:r>
            <w:r>
              <w:rPr>
                <w:rFonts w:hint="eastAsia" w:ascii="宋体" w:hAnsi="宋体" w:cs="宋体"/>
                <w:color w:val="auto"/>
                <w:sz w:val="24"/>
                <w:highlight w:val="none"/>
              </w:rPr>
              <w:t>具有有效期内“家具产品有害物质限量认证证书”的得1分，并书面承诺证书可在中国国家认证认可监督管理委员会网站（http://www.cnca.gov.cn/）查询到，投标人须提供有效认证证书复印件及书面承诺函（格式自拟）并加盖公章，否则不得分。</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209B4D79">
            <w:pPr>
              <w:keepNext w:val="0"/>
              <w:keepLines w:val="0"/>
              <w:suppressLineNumbers w:val="0"/>
              <w:spacing w:before="0" w:beforeAutospacing="0" w:after="0" w:afterAutospacing="0" w:line="360" w:lineRule="auto"/>
              <w:ind w:left="0" w:right="0"/>
              <w:jc w:val="center"/>
              <w:rPr>
                <w:rFonts w:hint="eastAsia" w:ascii="宋体" w:hAnsi="宋体"/>
                <w:bCs/>
                <w:color w:val="auto"/>
                <w:sz w:val="24"/>
                <w:highlight w:val="none"/>
              </w:rPr>
            </w:pPr>
            <w:r>
              <w:rPr>
                <w:rFonts w:hint="eastAsia" w:ascii="宋体" w:hAnsi="宋体"/>
                <w:bCs/>
                <w:color w:val="auto"/>
                <w:sz w:val="24"/>
                <w:highlight w:val="none"/>
              </w:rPr>
              <w:t>1</w:t>
            </w:r>
          </w:p>
        </w:tc>
      </w:tr>
      <w:tr w14:paraId="2AC6AFAB">
        <w:tblPrEx>
          <w:tblCellMar>
            <w:top w:w="0" w:type="dxa"/>
            <w:left w:w="108" w:type="dxa"/>
            <w:bottom w:w="0" w:type="dxa"/>
            <w:right w:w="108" w:type="dxa"/>
          </w:tblCellMar>
        </w:tblPrEx>
        <w:trPr>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355A590B">
            <w:pPr>
              <w:keepNext w:val="0"/>
              <w:keepLines w:val="0"/>
              <w:suppressLineNumbers w:val="0"/>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3</w:t>
            </w:r>
          </w:p>
        </w:tc>
        <w:tc>
          <w:tcPr>
            <w:tcW w:w="7881" w:type="dxa"/>
            <w:tcBorders>
              <w:top w:val="single" w:color="auto" w:sz="4" w:space="0"/>
              <w:left w:val="single" w:color="auto" w:sz="4" w:space="0"/>
              <w:bottom w:val="single" w:color="auto" w:sz="4" w:space="0"/>
              <w:right w:val="single" w:color="auto" w:sz="4" w:space="0"/>
            </w:tcBorders>
            <w:noWrap w:val="0"/>
            <w:vAlign w:val="center"/>
          </w:tcPr>
          <w:p w14:paraId="3AACA886">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sz w:val="24"/>
                <w:highlight w:val="none"/>
              </w:rPr>
              <w:t>投标</w:t>
            </w:r>
            <w:r>
              <w:rPr>
                <w:rFonts w:hint="eastAsia" w:ascii="宋体" w:hAnsi="宋体" w:cs="宋体"/>
                <w:color w:val="auto"/>
                <w:sz w:val="24"/>
                <w:highlight w:val="none"/>
                <w:lang w:val="en-US" w:eastAsia="zh-CN"/>
              </w:rPr>
              <w:t>产品制造商</w:t>
            </w:r>
            <w:r>
              <w:rPr>
                <w:rFonts w:hint="eastAsia" w:ascii="宋体" w:hAnsi="宋体" w:cs="宋体"/>
                <w:color w:val="auto"/>
                <w:sz w:val="24"/>
                <w:highlight w:val="none"/>
              </w:rPr>
              <w:t>具有有效期内“低VOCs家具产品认证证书”的得1分，并书面承诺证书可在中国国家认证认可监督管理委员会网站(http://www.cnca.gov.cn) 或 中 国 合 格 评 定 国 家 认 可 委 员 会 (https://www.cnas.org.cn) 查询到，投标人须提供有效认证证书复印件及书面承诺函（格式自拟）并加盖公章，否则不得分。</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48F35439">
            <w:pPr>
              <w:keepNext w:val="0"/>
              <w:keepLines w:val="0"/>
              <w:suppressLineNumbers w:val="0"/>
              <w:spacing w:before="0" w:beforeAutospacing="0" w:after="0" w:afterAutospacing="0" w:line="360" w:lineRule="auto"/>
              <w:ind w:left="0" w:right="0"/>
              <w:jc w:val="center"/>
              <w:rPr>
                <w:rFonts w:hint="eastAsia" w:ascii="宋体" w:hAnsi="宋体"/>
                <w:bCs/>
                <w:color w:val="auto"/>
                <w:sz w:val="24"/>
                <w:highlight w:val="none"/>
              </w:rPr>
            </w:pPr>
            <w:r>
              <w:rPr>
                <w:rFonts w:hint="eastAsia" w:ascii="宋体" w:hAnsi="宋体"/>
                <w:bCs/>
                <w:color w:val="auto"/>
                <w:sz w:val="24"/>
                <w:highlight w:val="none"/>
              </w:rPr>
              <w:t>1</w:t>
            </w:r>
          </w:p>
        </w:tc>
      </w:tr>
      <w:tr w14:paraId="165ED784">
        <w:tblPrEx>
          <w:tblCellMar>
            <w:top w:w="0" w:type="dxa"/>
            <w:left w:w="108" w:type="dxa"/>
            <w:bottom w:w="0" w:type="dxa"/>
            <w:right w:w="108" w:type="dxa"/>
          </w:tblCellMar>
        </w:tblPrEx>
        <w:trPr>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39B1D67F">
            <w:pPr>
              <w:keepNext w:val="0"/>
              <w:keepLines w:val="0"/>
              <w:suppressLineNumbers w:val="0"/>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4</w:t>
            </w:r>
          </w:p>
        </w:tc>
        <w:tc>
          <w:tcPr>
            <w:tcW w:w="7881" w:type="dxa"/>
            <w:tcBorders>
              <w:top w:val="single" w:color="auto" w:sz="4" w:space="0"/>
              <w:left w:val="single" w:color="auto" w:sz="4" w:space="0"/>
              <w:bottom w:val="single" w:color="auto" w:sz="4" w:space="0"/>
              <w:right w:val="single" w:color="auto" w:sz="4" w:space="0"/>
            </w:tcBorders>
            <w:noWrap w:val="0"/>
            <w:vAlign w:val="top"/>
          </w:tcPr>
          <w:p w14:paraId="5A70271D">
            <w:pPr>
              <w:keepNext w:val="0"/>
              <w:keepLines w:val="0"/>
              <w:suppressLineNumbers w:val="0"/>
              <w:spacing w:before="0" w:beforeAutospacing="0" w:after="0" w:afterAutospacing="0" w:line="360" w:lineRule="auto"/>
              <w:ind w:left="0" w:right="0"/>
              <w:rPr>
                <w:rFonts w:hint="default" w:ascii="宋体" w:hAnsi="宋体" w:cs="宋体"/>
                <w:color w:val="auto"/>
                <w:sz w:val="24"/>
                <w:highlight w:val="none"/>
              </w:rPr>
            </w:pPr>
            <w:r>
              <w:rPr>
                <w:rFonts w:hint="eastAsia" w:ascii="宋体" w:hAnsi="宋体" w:cs="宋体"/>
                <w:color w:val="auto"/>
                <w:kern w:val="0"/>
                <w:sz w:val="24"/>
                <w:highlight w:val="none"/>
                <w:lang w:bidi="ar"/>
              </w:rPr>
              <w:t>投标</w:t>
            </w:r>
            <w:r>
              <w:rPr>
                <w:rFonts w:hint="eastAsia" w:ascii="宋体" w:hAnsi="宋体" w:cs="宋体"/>
                <w:color w:val="auto"/>
                <w:sz w:val="24"/>
                <w:highlight w:val="none"/>
                <w:lang w:val="en-US" w:eastAsia="zh-CN"/>
              </w:rPr>
              <w:t>产品制造商</w:t>
            </w:r>
            <w:r>
              <w:rPr>
                <w:rFonts w:hint="eastAsia" w:ascii="宋体" w:hAnsi="宋体" w:cs="宋体"/>
                <w:color w:val="auto"/>
                <w:kern w:val="0"/>
                <w:sz w:val="24"/>
                <w:highlight w:val="none"/>
              </w:rPr>
              <w:t>具有有效期内“</w:t>
            </w:r>
            <w:r>
              <w:rPr>
                <w:rFonts w:hint="eastAsia" w:ascii="宋体" w:hAnsi="宋体" w:cs="宋体"/>
                <w:bCs/>
                <w:color w:val="auto"/>
                <w:sz w:val="24"/>
                <w:highlight w:val="none"/>
              </w:rPr>
              <w:t>人类工效学认证证书</w:t>
            </w:r>
            <w:r>
              <w:rPr>
                <w:rFonts w:hint="eastAsia" w:ascii="宋体" w:hAnsi="宋体" w:cs="宋体"/>
                <w:color w:val="auto"/>
                <w:kern w:val="0"/>
                <w:sz w:val="24"/>
                <w:highlight w:val="none"/>
              </w:rPr>
              <w:t>”的得1分</w:t>
            </w:r>
            <w:r>
              <w:rPr>
                <w:rFonts w:hint="eastAsia" w:ascii="宋体" w:hAnsi="宋体" w:cs="宋体"/>
                <w:color w:val="auto"/>
                <w:kern w:val="0"/>
                <w:sz w:val="24"/>
                <w:highlight w:val="none"/>
                <w:lang w:bidi="ar"/>
              </w:rPr>
              <w:t>，</w:t>
            </w:r>
            <w:r>
              <w:rPr>
                <w:rFonts w:hint="eastAsia" w:ascii="宋体" w:hAnsi="宋体" w:cs="宋体"/>
                <w:color w:val="auto"/>
                <w:sz w:val="24"/>
                <w:highlight w:val="none"/>
              </w:rPr>
              <w:t>并书面承诺证书可在中国国家认证认可监督管理委员会网站</w:t>
            </w:r>
            <w:r>
              <w:rPr>
                <w:rFonts w:hint="eastAsia" w:ascii="宋体" w:hAnsi="宋体" w:cs="宋体"/>
                <w:color w:val="auto"/>
                <w:kern w:val="0"/>
                <w:sz w:val="24"/>
                <w:highlight w:val="none"/>
                <w:lang w:bidi="ar"/>
              </w:rPr>
              <w:t xml:space="preserve">(http://www.cnca.gov.cn) 或 中 国 合 格 评 定 国 家 认 可 委 员 (https://www.cnas.org.cn) </w:t>
            </w:r>
            <w:r>
              <w:rPr>
                <w:rFonts w:hint="eastAsia" w:ascii="宋体" w:hAnsi="宋体" w:cs="宋体"/>
                <w:color w:val="auto"/>
                <w:sz w:val="24"/>
                <w:highlight w:val="none"/>
              </w:rPr>
              <w:t>查询到，投标人须提供有效认证证书复印件及书面承诺函（格式自拟）并加盖公章，否则不得分。</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531B370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highlight w:val="none"/>
              </w:rPr>
            </w:pPr>
            <w:r>
              <w:rPr>
                <w:rFonts w:hint="eastAsia" w:ascii="宋体" w:hAnsi="宋体"/>
                <w:bCs/>
                <w:color w:val="auto"/>
                <w:sz w:val="24"/>
                <w:highlight w:val="none"/>
              </w:rPr>
              <w:t>1</w:t>
            </w:r>
          </w:p>
        </w:tc>
      </w:tr>
      <w:tr w14:paraId="65440C9F">
        <w:tblPrEx>
          <w:tblCellMar>
            <w:top w:w="0" w:type="dxa"/>
            <w:left w:w="108" w:type="dxa"/>
            <w:bottom w:w="0" w:type="dxa"/>
            <w:right w:w="108" w:type="dxa"/>
          </w:tblCellMar>
        </w:tblPrEx>
        <w:trPr>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61048CAE">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highlight w:val="none"/>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5</w:t>
            </w:r>
          </w:p>
        </w:tc>
        <w:tc>
          <w:tcPr>
            <w:tcW w:w="7881" w:type="dxa"/>
            <w:tcBorders>
              <w:top w:val="single" w:color="auto" w:sz="4" w:space="0"/>
              <w:left w:val="single" w:color="auto" w:sz="4" w:space="0"/>
              <w:bottom w:val="single" w:color="auto" w:sz="4" w:space="0"/>
              <w:right w:val="single" w:color="auto" w:sz="4" w:space="0"/>
            </w:tcBorders>
            <w:noWrap w:val="0"/>
            <w:vAlign w:val="top"/>
          </w:tcPr>
          <w:p w14:paraId="0F2CB158">
            <w:pPr>
              <w:keepNext w:val="0"/>
              <w:keepLines w:val="0"/>
              <w:suppressLineNumbers w:val="0"/>
              <w:spacing w:before="0" w:beforeAutospacing="0" w:after="0" w:afterAutospacing="0" w:line="360" w:lineRule="auto"/>
              <w:ind w:left="0" w:right="0"/>
              <w:rPr>
                <w:rFonts w:hint="eastAsia" w:ascii="宋体" w:hAnsi="宋体" w:cs="宋体"/>
                <w:color w:val="auto"/>
                <w:sz w:val="24"/>
                <w:highlight w:val="none"/>
              </w:rPr>
            </w:pPr>
            <w:r>
              <w:rPr>
                <w:rFonts w:hint="eastAsia" w:ascii="宋体" w:hAnsi="宋体" w:cs="宋体"/>
                <w:color w:val="auto"/>
                <w:sz w:val="24"/>
                <w:highlight w:val="none"/>
              </w:rPr>
              <w:t>投标人获得有效期内</w:t>
            </w:r>
            <w:r>
              <w:rPr>
                <w:rFonts w:hint="default" w:ascii="宋体" w:hAnsi="宋体" w:cs="宋体"/>
                <w:color w:val="auto"/>
                <w:sz w:val="24"/>
                <w:highlight w:val="none"/>
                <w:lang w:val="en-US" w:eastAsia="zh-CN"/>
              </w:rPr>
              <w:t>GB</w:t>
            </w:r>
            <w:r>
              <w:rPr>
                <w:rFonts w:hint="eastAsia" w:ascii="宋体" w:hAnsi="宋体" w:cs="宋体"/>
                <w:color w:val="auto"/>
                <w:sz w:val="24"/>
                <w:highlight w:val="none"/>
                <w:lang w:val="en-US" w:eastAsia="zh-CN"/>
              </w:rPr>
              <w:t>/</w:t>
            </w:r>
            <w:r>
              <w:rPr>
                <w:rFonts w:hint="default" w:ascii="宋体" w:hAnsi="宋体" w:cs="宋体"/>
                <w:color w:val="auto"/>
                <w:sz w:val="24"/>
                <w:highlight w:val="none"/>
                <w:lang w:val="en-US" w:eastAsia="zh-CN"/>
              </w:rPr>
              <w:t>T 27922-2011商品售后服务评价体系</w:t>
            </w:r>
            <w:r>
              <w:rPr>
                <w:rFonts w:hint="eastAsia" w:ascii="宋体" w:hAnsi="宋体" w:cs="宋体"/>
                <w:color w:val="auto"/>
                <w:sz w:val="24"/>
                <w:highlight w:val="none"/>
              </w:rPr>
              <w:t>认证，</w:t>
            </w:r>
            <w:r>
              <w:rPr>
                <w:rFonts w:hint="eastAsia" w:ascii="宋体" w:hAnsi="宋体" w:cs="宋体"/>
                <w:color w:val="auto"/>
                <w:sz w:val="24"/>
                <w:highlight w:val="none"/>
                <w:lang w:val="en-US" w:eastAsia="zh-CN"/>
              </w:rPr>
              <w:t>获得五星级认证</w:t>
            </w:r>
            <w:r>
              <w:rPr>
                <w:rFonts w:hint="eastAsia" w:ascii="宋体" w:hAnsi="宋体" w:cs="宋体"/>
                <w:color w:val="auto"/>
                <w:sz w:val="24"/>
                <w:highlight w:val="none"/>
              </w:rPr>
              <w:t>得1分</w:t>
            </w:r>
            <w:r>
              <w:rPr>
                <w:rFonts w:hint="eastAsia" w:ascii="宋体" w:hAnsi="宋体" w:cs="宋体"/>
                <w:color w:val="auto"/>
                <w:sz w:val="24"/>
                <w:highlight w:val="none"/>
                <w:lang w:val="en-US" w:eastAsia="zh-CN"/>
              </w:rPr>
              <w:t>；获得四星级-三星级认证</w:t>
            </w:r>
            <w:r>
              <w:rPr>
                <w:rFonts w:hint="eastAsia" w:ascii="宋体" w:hAnsi="宋体" w:cs="宋体"/>
                <w:color w:val="auto"/>
                <w:sz w:val="24"/>
                <w:highlight w:val="none"/>
              </w:rPr>
              <w:t>得</w:t>
            </w:r>
            <w:r>
              <w:rPr>
                <w:rFonts w:hint="eastAsia" w:ascii="宋体" w:hAnsi="宋体" w:cs="宋体"/>
                <w:color w:val="auto"/>
                <w:sz w:val="24"/>
                <w:highlight w:val="none"/>
                <w:lang w:val="en-US" w:eastAsia="zh-CN"/>
              </w:rPr>
              <w:t>0.5</w:t>
            </w:r>
            <w:r>
              <w:rPr>
                <w:rFonts w:hint="eastAsia" w:ascii="宋体" w:hAnsi="宋体" w:cs="宋体"/>
                <w:color w:val="auto"/>
                <w:sz w:val="24"/>
                <w:highlight w:val="none"/>
              </w:rPr>
              <w:t>分</w:t>
            </w:r>
            <w:r>
              <w:rPr>
                <w:rFonts w:hint="eastAsia" w:ascii="宋体" w:hAnsi="宋体" w:cs="宋体"/>
                <w:color w:val="auto"/>
                <w:sz w:val="24"/>
                <w:highlight w:val="none"/>
                <w:lang w:val="en-US" w:eastAsia="zh-CN"/>
              </w:rPr>
              <w:t>；其他不得分</w:t>
            </w:r>
            <w:r>
              <w:rPr>
                <w:rFonts w:hint="eastAsia" w:ascii="宋体" w:hAnsi="宋体" w:cs="宋体"/>
                <w:color w:val="auto"/>
                <w:sz w:val="24"/>
                <w:highlight w:val="none"/>
              </w:rPr>
              <w:t>。并书面承诺证书可在中国国家认证认可监督管理委员会网站（http://www.cnca.gov.cn/）查询到，投标人须提供有效认证证书复印件及书面承诺函（格式自拟）并加盖公章，否则不得分。</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371879F9">
            <w:pPr>
              <w:keepNext w:val="0"/>
              <w:keepLines w:val="0"/>
              <w:suppressLineNumbers w:val="0"/>
              <w:spacing w:before="0" w:beforeAutospacing="0" w:after="0" w:afterAutospacing="0" w:line="360" w:lineRule="auto"/>
              <w:ind w:left="0" w:right="0"/>
              <w:jc w:val="center"/>
              <w:rPr>
                <w:rFonts w:hint="default" w:ascii="宋体" w:hAnsi="宋体" w:eastAsia="宋体"/>
                <w:bCs/>
                <w:color w:val="auto"/>
                <w:sz w:val="24"/>
                <w:highlight w:val="none"/>
                <w:lang w:val="en-US" w:eastAsia="zh-CN"/>
              </w:rPr>
            </w:pPr>
            <w:r>
              <w:rPr>
                <w:rFonts w:hint="eastAsia" w:ascii="宋体" w:hAnsi="宋体"/>
                <w:bCs/>
                <w:color w:val="auto"/>
                <w:sz w:val="24"/>
                <w:highlight w:val="none"/>
              </w:rPr>
              <w:t>1</w:t>
            </w:r>
          </w:p>
        </w:tc>
      </w:tr>
      <w:tr w14:paraId="7A759A63">
        <w:tblPrEx>
          <w:tblCellMar>
            <w:top w:w="0" w:type="dxa"/>
            <w:left w:w="108" w:type="dxa"/>
            <w:bottom w:w="0" w:type="dxa"/>
            <w:right w:w="108" w:type="dxa"/>
          </w:tblCellMar>
        </w:tblPrEx>
        <w:trPr>
          <w:trHeight w:val="1369" w:hRule="atLeast"/>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2484EF9F">
            <w:pPr>
              <w:keepNext w:val="0"/>
              <w:keepLines w:val="0"/>
              <w:suppressLineNumbers w:val="0"/>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6</w:t>
            </w:r>
          </w:p>
        </w:tc>
        <w:tc>
          <w:tcPr>
            <w:tcW w:w="7881" w:type="dxa"/>
            <w:tcBorders>
              <w:top w:val="single" w:color="auto" w:sz="4" w:space="0"/>
              <w:left w:val="single" w:color="auto" w:sz="4" w:space="0"/>
              <w:bottom w:val="single" w:color="auto" w:sz="4" w:space="0"/>
              <w:right w:val="single" w:color="auto" w:sz="4" w:space="0"/>
            </w:tcBorders>
            <w:noWrap w:val="0"/>
            <w:vAlign w:val="top"/>
          </w:tcPr>
          <w:p w14:paraId="1ADA0782">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highlight w:val="none"/>
                <w:lang w:eastAsia="zh-CN"/>
              </w:rPr>
            </w:pPr>
            <w:r>
              <w:rPr>
                <w:rFonts w:hint="eastAsia" w:ascii="宋体" w:hAnsi="宋体" w:cs="宋体"/>
                <w:color w:val="auto"/>
                <w:sz w:val="24"/>
                <w:highlight w:val="none"/>
              </w:rPr>
              <w:t>投标人获得有效期内SB</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T10962-2013商业企业服务质量评价体系认证，</w:t>
            </w:r>
            <w:r>
              <w:rPr>
                <w:rFonts w:hint="eastAsia" w:ascii="宋体" w:hAnsi="宋体" w:cs="宋体"/>
                <w:color w:val="auto"/>
                <w:sz w:val="24"/>
                <w:highlight w:val="none"/>
                <w:lang w:val="en-US" w:eastAsia="zh-CN"/>
              </w:rPr>
              <w:t>获得五星级认证</w:t>
            </w:r>
            <w:r>
              <w:rPr>
                <w:rFonts w:hint="eastAsia" w:ascii="宋体" w:hAnsi="宋体" w:cs="宋体"/>
                <w:color w:val="auto"/>
                <w:sz w:val="24"/>
                <w:highlight w:val="none"/>
              </w:rPr>
              <w:t>得1分</w:t>
            </w:r>
            <w:r>
              <w:rPr>
                <w:rFonts w:hint="eastAsia" w:ascii="宋体" w:hAnsi="宋体" w:cs="宋体"/>
                <w:color w:val="auto"/>
                <w:sz w:val="24"/>
                <w:highlight w:val="none"/>
                <w:lang w:val="en-US" w:eastAsia="zh-CN"/>
              </w:rPr>
              <w:t>；获得四星级-三星级认证</w:t>
            </w:r>
            <w:r>
              <w:rPr>
                <w:rFonts w:hint="eastAsia" w:ascii="宋体" w:hAnsi="宋体" w:cs="宋体"/>
                <w:color w:val="auto"/>
                <w:sz w:val="24"/>
                <w:highlight w:val="none"/>
              </w:rPr>
              <w:t>得</w:t>
            </w:r>
            <w:r>
              <w:rPr>
                <w:rFonts w:hint="eastAsia" w:ascii="宋体" w:hAnsi="宋体" w:cs="宋体"/>
                <w:color w:val="auto"/>
                <w:sz w:val="24"/>
                <w:highlight w:val="none"/>
                <w:lang w:val="en-US" w:eastAsia="zh-CN"/>
              </w:rPr>
              <w:t>0.5</w:t>
            </w:r>
            <w:r>
              <w:rPr>
                <w:rFonts w:hint="eastAsia" w:ascii="宋体" w:hAnsi="宋体" w:cs="宋体"/>
                <w:color w:val="auto"/>
                <w:sz w:val="24"/>
                <w:highlight w:val="none"/>
              </w:rPr>
              <w:t>分</w:t>
            </w:r>
            <w:r>
              <w:rPr>
                <w:rFonts w:hint="eastAsia" w:ascii="宋体" w:hAnsi="宋体" w:cs="宋体"/>
                <w:color w:val="auto"/>
                <w:sz w:val="24"/>
                <w:highlight w:val="none"/>
                <w:lang w:val="en-US" w:eastAsia="zh-CN"/>
              </w:rPr>
              <w:t>；其他不得分</w:t>
            </w:r>
            <w:r>
              <w:rPr>
                <w:rFonts w:hint="eastAsia" w:ascii="宋体" w:hAnsi="宋体" w:cs="宋体"/>
                <w:color w:val="auto"/>
                <w:sz w:val="24"/>
                <w:highlight w:val="none"/>
              </w:rPr>
              <w:t>。并书面承诺证书可在中国国家认证认可监督管理委员会网站（http://www.cnca.gov.cn/）查询到，投标人须提供有效认证证书复印件及书面承诺函（格式自拟）并加盖公章，否则不得分。</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0506C2C5">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highlight w:val="none"/>
                <w:lang w:val="en-US" w:eastAsia="zh-CN"/>
              </w:rPr>
            </w:pPr>
            <w:r>
              <w:rPr>
                <w:rFonts w:hint="eastAsia" w:ascii="宋体" w:hAnsi="宋体"/>
                <w:bCs/>
                <w:color w:val="auto"/>
                <w:sz w:val="24"/>
                <w:highlight w:val="none"/>
                <w:lang w:val="en-US" w:eastAsia="zh-CN"/>
              </w:rPr>
              <w:t>1</w:t>
            </w:r>
          </w:p>
        </w:tc>
      </w:tr>
      <w:tr w14:paraId="0301D34F">
        <w:tblPrEx>
          <w:tblCellMar>
            <w:top w:w="0" w:type="dxa"/>
            <w:left w:w="108" w:type="dxa"/>
            <w:bottom w:w="0" w:type="dxa"/>
            <w:right w:w="108" w:type="dxa"/>
          </w:tblCellMar>
        </w:tblPrEx>
        <w:trPr>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75C134AD">
            <w:pPr>
              <w:keepNext w:val="0"/>
              <w:keepLines w:val="0"/>
              <w:suppressLineNumbers w:val="0"/>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7</w:t>
            </w:r>
          </w:p>
        </w:tc>
        <w:tc>
          <w:tcPr>
            <w:tcW w:w="7881" w:type="dxa"/>
            <w:tcBorders>
              <w:top w:val="single" w:color="auto" w:sz="4" w:space="0"/>
              <w:left w:val="single" w:color="auto" w:sz="4" w:space="0"/>
              <w:bottom w:val="single" w:color="auto" w:sz="4" w:space="0"/>
              <w:right w:val="single" w:color="auto" w:sz="4" w:space="0"/>
            </w:tcBorders>
            <w:noWrap w:val="0"/>
            <w:vAlign w:val="center"/>
          </w:tcPr>
          <w:p w14:paraId="14DDA314">
            <w:pPr>
              <w:keepNext w:val="0"/>
              <w:keepLines w:val="0"/>
              <w:suppressLineNumbers w:val="0"/>
              <w:spacing w:before="0" w:beforeAutospacing="0" w:after="0" w:afterAutospacing="0" w:line="360" w:lineRule="auto"/>
              <w:ind w:left="0" w:right="0"/>
              <w:rPr>
                <w:rFonts w:hint="default" w:ascii="宋体" w:hAnsi="宋体" w:cs="宋体"/>
                <w:color w:val="auto"/>
                <w:sz w:val="24"/>
                <w:highlight w:val="none"/>
              </w:rPr>
            </w:pPr>
            <w:r>
              <w:rPr>
                <w:rFonts w:hint="eastAsia" w:ascii="宋体" w:hAnsi="宋体" w:cs="宋体"/>
                <w:color w:val="auto"/>
                <w:sz w:val="24"/>
                <w:highlight w:val="none"/>
              </w:rPr>
              <w:t>投标人在满足招标文件交付</w:t>
            </w:r>
            <w:r>
              <w:rPr>
                <w:rFonts w:hint="eastAsia" w:ascii="宋体" w:hAnsi="宋体" w:cs="宋体"/>
                <w:color w:val="auto"/>
                <w:sz w:val="24"/>
                <w:highlight w:val="none"/>
                <w:lang w:val="en-US" w:eastAsia="zh-CN"/>
              </w:rPr>
              <w:t>使用</w:t>
            </w:r>
            <w:r>
              <w:rPr>
                <w:rFonts w:hint="eastAsia" w:ascii="宋体" w:hAnsi="宋体" w:cs="宋体"/>
                <w:color w:val="auto"/>
                <w:sz w:val="24"/>
                <w:highlight w:val="none"/>
              </w:rPr>
              <w:t>期要求</w:t>
            </w:r>
            <w:r>
              <w:rPr>
                <w:rFonts w:hint="eastAsia" w:ascii="宋体" w:hAnsi="宋体" w:cs="宋体"/>
                <w:color w:val="auto"/>
                <w:sz w:val="24"/>
                <w:highlight w:val="none"/>
                <w:lang w:eastAsia="zh-CN"/>
              </w:rPr>
              <w:t>（合同签订后，收到使用单位通知之日起30个日历日内交货、安装调试完成并提交使用单位验收）</w:t>
            </w:r>
            <w:r>
              <w:rPr>
                <w:rFonts w:hint="eastAsia" w:ascii="宋体" w:hAnsi="宋体" w:cs="宋体"/>
                <w:color w:val="auto"/>
                <w:sz w:val="24"/>
                <w:highlight w:val="none"/>
              </w:rPr>
              <w:t>的基础上，每</w:t>
            </w:r>
            <w:r>
              <w:rPr>
                <w:rFonts w:hint="eastAsia" w:ascii="宋体" w:hAnsi="宋体" w:cs="宋体"/>
                <w:color w:val="auto"/>
                <w:sz w:val="24"/>
                <w:highlight w:val="none"/>
                <w:lang w:val="en-US" w:eastAsia="zh-CN"/>
              </w:rPr>
              <w:t>提前</w:t>
            </w:r>
            <w:r>
              <w:rPr>
                <w:rFonts w:hint="eastAsia" w:ascii="宋体" w:hAnsi="宋体" w:cs="宋体"/>
                <w:color w:val="auto"/>
                <w:sz w:val="24"/>
                <w:highlight w:val="none"/>
              </w:rPr>
              <w:t>1天</w:t>
            </w:r>
            <w:r>
              <w:rPr>
                <w:rFonts w:hint="eastAsia" w:ascii="宋体" w:hAnsi="宋体" w:cs="宋体"/>
                <w:color w:val="auto"/>
                <w:sz w:val="24"/>
                <w:highlight w:val="none"/>
                <w:lang w:val="en-US" w:eastAsia="zh-CN"/>
              </w:rPr>
              <w:t>得1</w:t>
            </w:r>
            <w:r>
              <w:rPr>
                <w:rFonts w:hint="eastAsia" w:ascii="宋体" w:hAnsi="宋体" w:cs="宋体"/>
                <w:color w:val="auto"/>
                <w:sz w:val="24"/>
                <w:highlight w:val="none"/>
              </w:rPr>
              <w:t>分，满分</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分。</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4012762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highlight w:val="none"/>
                <w:lang w:eastAsia="zh-CN"/>
              </w:rPr>
            </w:pPr>
            <w:r>
              <w:rPr>
                <w:rFonts w:hint="eastAsia" w:ascii="宋体" w:hAnsi="宋体" w:cs="宋体"/>
                <w:bCs/>
                <w:color w:val="auto"/>
                <w:sz w:val="24"/>
                <w:highlight w:val="none"/>
                <w:lang w:val="en-US" w:eastAsia="zh-CN"/>
              </w:rPr>
              <w:t>2</w:t>
            </w:r>
          </w:p>
        </w:tc>
      </w:tr>
      <w:tr w14:paraId="0A0664F9">
        <w:tblPrEx>
          <w:tblCellMar>
            <w:top w:w="0" w:type="dxa"/>
            <w:left w:w="108" w:type="dxa"/>
            <w:bottom w:w="0" w:type="dxa"/>
            <w:right w:w="108" w:type="dxa"/>
          </w:tblCellMar>
        </w:tblPrEx>
        <w:trPr>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5B1AA498">
            <w:pPr>
              <w:keepNext w:val="0"/>
              <w:keepLines w:val="0"/>
              <w:suppressLineNumbers w:val="0"/>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8</w:t>
            </w:r>
          </w:p>
        </w:tc>
        <w:tc>
          <w:tcPr>
            <w:tcW w:w="7881" w:type="dxa"/>
            <w:tcBorders>
              <w:top w:val="single" w:color="auto" w:sz="4" w:space="0"/>
              <w:left w:val="single" w:color="auto" w:sz="4" w:space="0"/>
              <w:bottom w:val="single" w:color="auto" w:sz="4" w:space="0"/>
              <w:right w:val="single" w:color="auto" w:sz="4" w:space="0"/>
            </w:tcBorders>
            <w:noWrap w:val="0"/>
            <w:vAlign w:val="top"/>
          </w:tcPr>
          <w:p w14:paraId="71BC7FA3">
            <w:pPr>
              <w:keepNext w:val="0"/>
              <w:keepLines w:val="0"/>
              <w:suppressLineNumbers w:val="0"/>
              <w:spacing w:before="0" w:beforeAutospacing="0" w:after="0" w:afterAutospacing="0" w:line="360" w:lineRule="auto"/>
              <w:ind w:left="0" w:right="0"/>
              <w:rPr>
                <w:rFonts w:hint="default" w:ascii="宋体" w:hAnsi="宋体" w:cs="宋体"/>
                <w:color w:val="auto"/>
                <w:sz w:val="24"/>
                <w:highlight w:val="none"/>
              </w:rPr>
            </w:pPr>
            <w:r>
              <w:rPr>
                <w:rFonts w:hint="eastAsia" w:ascii="宋体" w:hAnsi="宋体" w:cs="宋体"/>
                <w:color w:val="auto"/>
                <w:sz w:val="24"/>
                <w:highlight w:val="none"/>
              </w:rPr>
              <w:t>根据投标人提供的售后维保方案（须</w:t>
            </w:r>
            <w:r>
              <w:rPr>
                <w:rFonts w:hint="eastAsia" w:ascii="宋体" w:hAnsi="宋体" w:cs="宋体"/>
                <w:color w:val="auto"/>
                <w:sz w:val="24"/>
                <w:highlight w:val="none"/>
                <w:lang w:val="en-US" w:eastAsia="zh-CN"/>
              </w:rPr>
              <w:t>包含</w:t>
            </w:r>
            <w:r>
              <w:rPr>
                <w:rFonts w:hint="eastAsia" w:ascii="宋体" w:hAnsi="宋体" w:cs="宋体"/>
                <w:color w:val="auto"/>
                <w:sz w:val="24"/>
                <w:highlight w:val="none"/>
              </w:rPr>
              <w:t>售后维保的内容、服务人员配备以及售后维保具体手段或工具）进行综合评价：方案描述详细、具体、明确</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有相应的人力、物力投入安排，能够确保售后服务质量</w:t>
            </w:r>
            <w:r>
              <w:rPr>
                <w:rFonts w:hint="eastAsia" w:ascii="宋体" w:hAnsi="宋体" w:cs="宋体"/>
                <w:color w:val="auto"/>
                <w:sz w:val="24"/>
                <w:highlight w:val="none"/>
              </w:rPr>
              <w:t>的得2分</w:t>
            </w:r>
            <w:r>
              <w:rPr>
                <w:rFonts w:hint="eastAsia" w:ascii="宋体" w:hAnsi="宋体" w:cs="宋体"/>
                <w:color w:val="auto"/>
                <w:sz w:val="24"/>
                <w:highlight w:val="none"/>
                <w:lang w:eastAsia="zh-CN"/>
              </w:rPr>
              <w:t>；</w:t>
            </w:r>
            <w:r>
              <w:rPr>
                <w:rFonts w:hint="eastAsia" w:ascii="宋体" w:hAnsi="宋体" w:cs="宋体"/>
                <w:color w:val="auto"/>
                <w:sz w:val="24"/>
                <w:highlight w:val="none"/>
              </w:rPr>
              <w:t>方案较为简单</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对服务过程中的关键节点有提出基本的售后服务</w:t>
            </w:r>
            <w:r>
              <w:rPr>
                <w:rFonts w:hint="eastAsia" w:ascii="宋体" w:hAnsi="宋体" w:cs="宋体"/>
                <w:color w:val="auto"/>
                <w:sz w:val="24"/>
                <w:highlight w:val="none"/>
              </w:rPr>
              <w:t>的得1</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分，未提供或不可行的不得分。</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6425560E">
            <w:pPr>
              <w:keepNext w:val="0"/>
              <w:keepLines w:val="0"/>
              <w:suppressLineNumbers w:val="0"/>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bCs/>
                <w:color w:val="auto"/>
                <w:sz w:val="24"/>
                <w:highlight w:val="none"/>
              </w:rPr>
              <w:t>2</w:t>
            </w:r>
          </w:p>
        </w:tc>
      </w:tr>
      <w:tr w14:paraId="5AF5319C">
        <w:tblPrEx>
          <w:tblCellMar>
            <w:top w:w="0" w:type="dxa"/>
            <w:left w:w="108" w:type="dxa"/>
            <w:bottom w:w="0" w:type="dxa"/>
            <w:right w:w="108" w:type="dxa"/>
          </w:tblCellMar>
        </w:tblPrEx>
        <w:trPr>
          <w:jc w:val="center"/>
        </w:trPr>
        <w:tc>
          <w:tcPr>
            <w:tcW w:w="762" w:type="dxa"/>
            <w:tcBorders>
              <w:top w:val="single" w:color="auto" w:sz="4" w:space="0"/>
              <w:left w:val="single" w:color="auto" w:sz="4" w:space="0"/>
              <w:bottom w:val="single" w:color="auto" w:sz="4" w:space="0"/>
              <w:right w:val="single" w:color="auto" w:sz="4" w:space="0"/>
            </w:tcBorders>
            <w:noWrap w:val="0"/>
            <w:vAlign w:val="center"/>
          </w:tcPr>
          <w:p w14:paraId="6416EC75">
            <w:pPr>
              <w:keepNext w:val="0"/>
              <w:keepLines w:val="0"/>
              <w:suppressLineNumbers w:val="0"/>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rPr>
              <w:t>9</w:t>
            </w:r>
          </w:p>
        </w:tc>
        <w:tc>
          <w:tcPr>
            <w:tcW w:w="7881" w:type="dxa"/>
            <w:tcBorders>
              <w:top w:val="single" w:color="auto" w:sz="4" w:space="0"/>
              <w:left w:val="single" w:color="auto" w:sz="4" w:space="0"/>
              <w:bottom w:val="single" w:color="auto" w:sz="4" w:space="0"/>
              <w:right w:val="single" w:color="auto" w:sz="4" w:space="0"/>
            </w:tcBorders>
            <w:noWrap w:val="0"/>
            <w:vAlign w:val="center"/>
          </w:tcPr>
          <w:p w14:paraId="761B1D71">
            <w:pPr>
              <w:keepNext w:val="0"/>
              <w:keepLines w:val="0"/>
              <w:suppressLineNumbers w:val="0"/>
              <w:spacing w:before="0" w:beforeAutospacing="0" w:after="0" w:afterAutospacing="0" w:line="360" w:lineRule="auto"/>
              <w:ind w:left="0" w:right="0"/>
              <w:rPr>
                <w:rFonts w:hint="default" w:ascii="宋体" w:hAnsi="宋体" w:cs="宋体"/>
                <w:bCs/>
                <w:color w:val="auto"/>
                <w:sz w:val="24"/>
                <w:highlight w:val="none"/>
              </w:rPr>
            </w:pPr>
            <w:r>
              <w:rPr>
                <w:rFonts w:hint="default" w:ascii="宋体" w:hAnsi="宋体" w:cs="宋体"/>
                <w:color w:val="auto"/>
                <w:kern w:val="0"/>
                <w:sz w:val="24"/>
                <w:highlight w:val="none"/>
                <w:lang w:bidi="ar"/>
              </w:rPr>
              <w:t>提供20</w:t>
            </w:r>
            <w:r>
              <w:rPr>
                <w:rFonts w:hint="eastAsia" w:ascii="宋体" w:hAnsi="宋体" w:cs="宋体"/>
                <w:color w:val="auto"/>
                <w:kern w:val="0"/>
                <w:sz w:val="24"/>
                <w:highlight w:val="none"/>
                <w:lang w:bidi="ar"/>
              </w:rPr>
              <w:t>22</w:t>
            </w:r>
            <w:r>
              <w:rPr>
                <w:rFonts w:hint="default" w:ascii="宋体" w:hAnsi="宋体" w:cs="宋体"/>
                <w:color w:val="auto"/>
                <w:kern w:val="0"/>
                <w:sz w:val="24"/>
                <w:highlight w:val="none"/>
                <w:lang w:bidi="ar"/>
              </w:rPr>
              <w:t>年1月1日至</w:t>
            </w:r>
            <w:r>
              <w:rPr>
                <w:rFonts w:hint="eastAsia" w:ascii="宋体" w:hAnsi="宋体" w:cs="宋体"/>
                <w:color w:val="auto"/>
                <w:kern w:val="0"/>
                <w:sz w:val="24"/>
                <w:highlight w:val="none"/>
                <w:lang w:val="en-US" w:eastAsia="zh-CN" w:bidi="ar"/>
              </w:rPr>
              <w:t>开标当日</w:t>
            </w:r>
            <w:r>
              <w:rPr>
                <w:rFonts w:hint="default" w:ascii="宋体" w:hAnsi="宋体" w:cs="宋体"/>
                <w:color w:val="auto"/>
                <w:kern w:val="0"/>
                <w:sz w:val="24"/>
                <w:highlight w:val="none"/>
                <w:lang w:bidi="ar"/>
              </w:rPr>
              <w:t>（以合同签订时间为准）</w:t>
            </w:r>
            <w:r>
              <w:rPr>
                <w:rFonts w:hint="eastAsia" w:ascii="宋体" w:hAnsi="宋体" w:cs="宋体"/>
                <w:color w:val="auto"/>
                <w:kern w:val="0"/>
                <w:sz w:val="24"/>
                <w:highlight w:val="none"/>
                <w:lang w:val="en-US" w:eastAsia="zh-CN" w:bidi="ar"/>
              </w:rPr>
              <w:t>同类</w:t>
            </w:r>
            <w:r>
              <w:rPr>
                <w:rFonts w:hint="default" w:ascii="宋体" w:hAnsi="宋体" w:cs="宋体"/>
                <w:color w:val="auto"/>
                <w:kern w:val="0"/>
                <w:sz w:val="24"/>
                <w:highlight w:val="none"/>
                <w:lang w:bidi="ar"/>
              </w:rPr>
              <w:t>家具</w:t>
            </w:r>
            <w:r>
              <w:rPr>
                <w:rFonts w:hint="eastAsia" w:ascii="宋体" w:hAnsi="宋体" w:cs="宋体"/>
                <w:color w:val="auto"/>
                <w:kern w:val="0"/>
                <w:sz w:val="24"/>
                <w:highlight w:val="none"/>
                <w:lang w:eastAsia="zh-CN" w:bidi="ar"/>
              </w:rPr>
              <w:t>（学生宿舍用家具，至少包括铁床或书桌）</w:t>
            </w:r>
            <w:r>
              <w:rPr>
                <w:rFonts w:hint="default" w:ascii="宋体" w:hAnsi="宋体" w:cs="宋体"/>
                <w:color w:val="auto"/>
                <w:kern w:val="0"/>
                <w:sz w:val="24"/>
                <w:highlight w:val="none"/>
                <w:lang w:bidi="ar"/>
              </w:rPr>
              <w:t>业绩进行评价</w:t>
            </w:r>
            <w:r>
              <w:rPr>
                <w:rFonts w:hint="eastAsia" w:ascii="宋体" w:hAnsi="宋体" w:cs="宋体"/>
                <w:color w:val="auto"/>
                <w:kern w:val="0"/>
                <w:sz w:val="24"/>
                <w:highlight w:val="none"/>
              </w:rPr>
              <w:t>（</w:t>
            </w:r>
            <w:r>
              <w:rPr>
                <w:rFonts w:hint="eastAsia" w:ascii="宋体" w:hAnsi="宋体" w:cs="宋体"/>
                <w:bCs/>
                <w:color w:val="auto"/>
                <w:sz w:val="24"/>
                <w:highlight w:val="none"/>
              </w:rPr>
              <w:t>每提供一个有效业绩得1分，满分3分</w:t>
            </w:r>
            <w:r>
              <w:rPr>
                <w:rFonts w:hint="eastAsia" w:ascii="宋体" w:hAnsi="宋体" w:cs="宋体"/>
                <w:color w:val="auto"/>
                <w:sz w:val="24"/>
                <w:highlight w:val="none"/>
              </w:rPr>
              <w:t>。【</w:t>
            </w:r>
            <w:r>
              <w:rPr>
                <w:rFonts w:hint="eastAsia" w:ascii="宋体" w:hAnsi="宋体" w:cs="宋体"/>
                <w:bCs/>
                <w:color w:val="auto"/>
                <w:sz w:val="24"/>
                <w:highlight w:val="none"/>
              </w:rPr>
              <w:t>有效业绩</w:t>
            </w:r>
            <w:r>
              <w:rPr>
                <w:rFonts w:hint="eastAsia" w:ascii="宋体" w:hAnsi="宋体" w:cs="宋体"/>
                <w:bCs/>
                <w:color w:val="auto"/>
                <w:sz w:val="24"/>
                <w:highlight w:val="none"/>
                <w:lang w:val="en-US" w:eastAsia="zh-CN"/>
              </w:rPr>
              <w:t>指：</w:t>
            </w:r>
            <w:r>
              <w:rPr>
                <w:rFonts w:hint="eastAsia" w:ascii="宋体" w:hAnsi="宋体" w:cs="宋体"/>
                <w:color w:val="auto"/>
                <w:sz w:val="24"/>
                <w:highlight w:val="none"/>
              </w:rPr>
              <w:t>投标人须同时提供①相关网站中标公告的下载网页截图并注明网址；②中标（成交）通知书复印件；③采购合同文本复印件；④能够证明该业绩项目已经采购单位验收合格的相关证明文件复印件。未能提供业绩的或业绩资料提供不齐全，不得分。】</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0D9A7A7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cs="宋体"/>
                <w:bCs/>
                <w:color w:val="auto"/>
                <w:sz w:val="24"/>
                <w:highlight w:val="none"/>
              </w:rPr>
            </w:pPr>
            <w:r>
              <w:rPr>
                <w:rFonts w:hint="eastAsia" w:ascii="宋体" w:hAnsi="宋体" w:cs="宋体"/>
                <w:bCs/>
                <w:color w:val="auto"/>
                <w:sz w:val="24"/>
                <w:highlight w:val="none"/>
              </w:rPr>
              <w:t>3</w:t>
            </w:r>
          </w:p>
        </w:tc>
      </w:tr>
    </w:tbl>
    <w:p w14:paraId="79178641">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3BE29E88">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（基准价/各个通过审核的有效投标人的评标价）计算，由此算出各个通过审核的有效投标人的价格得分。</w:t>
      </w:r>
    </w:p>
    <w:p w14:paraId="2909DEFE">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1EF0130F">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对其提供的小型或微型企业产品的投标报价给予20%的扣除，扣除后的价格作为该投标人的评标价参与价格评分。</w:t>
      </w:r>
    </w:p>
    <w:p w14:paraId="3D57EC7B">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0984597A">
      <w:pPr>
        <w:pStyle w:val="11"/>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1F8B3FE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78F23DDD">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5F404D50">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5EE9B41E">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48D3F296">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3D4236AE">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445AF4B9">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67844920">
      <w:pPr>
        <w:pStyle w:val="5"/>
        <w:numPr>
          <w:ilvl w:val="0"/>
          <w:numId w:val="2"/>
        </w:numPr>
        <w:spacing w:line="360" w:lineRule="auto"/>
        <w:ind w:firstLine="720" w:firstLineChars="300"/>
        <w:rPr>
          <w:rFonts w:hint="eastAsia" w:hAnsi="宋体" w:eastAsia="宋体" w:cs="宋体"/>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2DF69FFB">
      <w:pPr>
        <w:spacing w:line="240" w:lineRule="auto"/>
        <w:ind w:firstLine="0" w:firstLineChars="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14:paraId="27AED8DD">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2"/>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891"/>
        <w:gridCol w:w="6207"/>
      </w:tblGrid>
      <w:tr w14:paraId="52EE9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813" w:type="dxa"/>
            <w:noWrap w:val="0"/>
            <w:vAlign w:val="center"/>
          </w:tcPr>
          <w:p w14:paraId="0AF089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891" w:type="dxa"/>
            <w:noWrap w:val="0"/>
            <w:vAlign w:val="center"/>
          </w:tcPr>
          <w:p w14:paraId="647378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207" w:type="dxa"/>
            <w:noWrap w:val="0"/>
            <w:vAlign w:val="center"/>
          </w:tcPr>
          <w:p w14:paraId="1FACA9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36E0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813" w:type="dxa"/>
            <w:noWrap w:val="0"/>
            <w:vAlign w:val="center"/>
          </w:tcPr>
          <w:p w14:paraId="71CA729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891" w:type="dxa"/>
            <w:noWrap w:val="0"/>
            <w:vAlign w:val="center"/>
          </w:tcPr>
          <w:p w14:paraId="682A057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207" w:type="dxa"/>
            <w:noWrap w:val="0"/>
            <w:vAlign w:val="center"/>
          </w:tcPr>
          <w:p w14:paraId="68541E9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eastAsia="zh-CN"/>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3F9F1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813" w:type="dxa"/>
            <w:noWrap w:val="0"/>
            <w:vAlign w:val="center"/>
          </w:tcPr>
          <w:p w14:paraId="0549350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891" w:type="dxa"/>
            <w:noWrap w:val="0"/>
            <w:vAlign w:val="center"/>
          </w:tcPr>
          <w:p w14:paraId="19F45A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207" w:type="dxa"/>
            <w:noWrap w:val="0"/>
            <w:vAlign w:val="top"/>
          </w:tcPr>
          <w:p w14:paraId="489FC62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0F92494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542F493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432C2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813" w:type="dxa"/>
            <w:noWrap w:val="0"/>
            <w:vAlign w:val="center"/>
          </w:tcPr>
          <w:p w14:paraId="7AA1F12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891" w:type="dxa"/>
            <w:noWrap w:val="0"/>
            <w:vAlign w:val="center"/>
          </w:tcPr>
          <w:p w14:paraId="74CBC31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207" w:type="dxa"/>
            <w:tcBorders>
              <w:bottom w:val="single" w:color="auto" w:sz="4" w:space="0"/>
            </w:tcBorders>
            <w:noWrap w:val="0"/>
            <w:vAlign w:val="top"/>
          </w:tcPr>
          <w:p w14:paraId="4473D4F6">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中小企业（含中型、小型、微型企业，下同）生产：</w:t>
            </w:r>
          </w:p>
          <w:p w14:paraId="5075CA88">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w:t>
            </w:r>
            <w:r>
              <w:rPr>
                <w:rFonts w:hint="eastAsia" w:ascii="宋体" w:hAnsi="宋体" w:eastAsia="宋体" w:cs="宋体"/>
                <w:color w:val="auto"/>
                <w:spacing w:val="-4"/>
                <w:sz w:val="24"/>
                <w:szCs w:val="24"/>
                <w:highlight w:val="none"/>
              </w:rPr>
              <w:t>投</w:t>
            </w:r>
            <w:r>
              <w:rPr>
                <w:rFonts w:hint="eastAsia" w:ascii="宋体" w:hAnsi="宋体" w:eastAsia="宋体" w:cs="宋体"/>
                <w:color w:val="auto"/>
                <w:spacing w:val="-4"/>
                <w:sz w:val="24"/>
                <w:szCs w:val="24"/>
                <w:highlight w:val="none"/>
              </w:rPr>
              <w:t>标保证金：</w:t>
            </w:r>
            <w:r>
              <w:rPr>
                <w:rFonts w:hint="eastAsia" w:ascii="宋体" w:hAnsi="宋体" w:eastAsia="宋体" w:cs="宋体"/>
                <w:color w:val="auto"/>
                <w:spacing w:val="-4"/>
                <w:sz w:val="24"/>
                <w:szCs w:val="24"/>
                <w:highlight w:val="none"/>
                <w:lang w:val="en-US" w:eastAsia="zh-CN"/>
              </w:rPr>
              <w:t>全免</w:t>
            </w:r>
          </w:p>
          <w:p w14:paraId="7E45FCB6">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58A9FF8D">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5"/>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345AB528">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④</w:t>
            </w:r>
            <w:r>
              <w:rPr>
                <w:rFonts w:hint="eastAsia" w:ascii="宋体" w:hAnsi="宋体" w:cs="宋体"/>
                <w:color w:val="auto"/>
                <w:spacing w:val="-4"/>
                <w:sz w:val="24"/>
                <w:szCs w:val="24"/>
                <w:highlight w:val="none"/>
              </w:rPr>
              <w:t>缩短付款时间</w:t>
            </w:r>
          </w:p>
          <w:p w14:paraId="130047C0">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7EBB07A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52A7283D">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对其提供的小型或微型企业产品的投标报价给予20%的扣除，扣除后的价格作为该投标人的评标价参与价格评分。</w:t>
            </w:r>
          </w:p>
          <w:p w14:paraId="0B88314E">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28A5531B">
            <w:pPr>
              <w:pStyle w:val="11"/>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75A2A069">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60FA8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813" w:type="dxa"/>
            <w:noWrap w:val="0"/>
            <w:vAlign w:val="center"/>
          </w:tcPr>
          <w:p w14:paraId="34E982C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891" w:type="dxa"/>
            <w:noWrap w:val="0"/>
            <w:vAlign w:val="center"/>
          </w:tcPr>
          <w:p w14:paraId="130C9349">
            <w:pPr>
              <w:pStyle w:val="9"/>
              <w:keepNext w:val="0"/>
              <w:keepLines w:val="0"/>
              <w:suppressLineNumbers w:val="0"/>
              <w:spacing w:before="0" w:beforeAutospacing="0" w:after="0" w:afterAutospacing="0" w:line="360" w:lineRule="auto"/>
              <w:ind w:left="0" w:right="0"/>
              <w:rPr>
                <w:rFonts w:hint="default" w:eastAsia="宋体"/>
                <w:color w:val="auto"/>
                <w:sz w:val="24"/>
                <w:szCs w:val="24"/>
                <w:highlight w:val="none"/>
              </w:rPr>
            </w:pPr>
            <w:r>
              <w:rPr>
                <w:rFonts w:hint="eastAsia" w:eastAsia="宋体"/>
                <w:color w:val="auto"/>
                <w:sz w:val="24"/>
                <w:szCs w:val="24"/>
                <w:highlight w:val="none"/>
              </w:rPr>
              <w:t>本项目对应的中小企业划分标准所属</w:t>
            </w:r>
            <w:r>
              <w:rPr>
                <w:rFonts w:hint="eastAsia" w:ascii="宋体" w:hAnsi="宋体" w:eastAsia="宋体" w:cs="宋体"/>
                <w:b/>
                <w:bCs/>
                <w:color w:val="auto"/>
                <w:sz w:val="24"/>
                <w:szCs w:val="24"/>
                <w:highlight w:val="none"/>
                <w:u w:val="single"/>
              </w:rPr>
              <w:t>工业</w:t>
            </w:r>
            <w:r>
              <w:rPr>
                <w:rFonts w:hint="eastAsia" w:eastAsia="宋体"/>
                <w:b/>
                <w:bCs/>
                <w:color w:val="auto"/>
                <w:sz w:val="24"/>
                <w:szCs w:val="24"/>
                <w:highlight w:val="none"/>
                <w:u w:val="single"/>
              </w:rPr>
              <w:t xml:space="preserve">  行业。</w:t>
            </w:r>
          </w:p>
        </w:tc>
        <w:tc>
          <w:tcPr>
            <w:tcW w:w="6207" w:type="dxa"/>
            <w:tcBorders>
              <w:bottom w:val="single" w:color="auto" w:sz="4" w:space="0"/>
            </w:tcBorders>
            <w:noWrap w:val="0"/>
            <w:vAlign w:val="top"/>
          </w:tcPr>
          <w:p w14:paraId="67CF9F02">
            <w:pPr>
              <w:keepNext w:val="0"/>
              <w:keepLines w:val="0"/>
              <w:suppressLineNumbers w:val="0"/>
              <w:spacing w:before="0" w:beforeAutospacing="0" w:after="0" w:afterAutospacing="0" w:line="360" w:lineRule="auto"/>
              <w:ind w:left="0" w:right="0"/>
              <w:rPr>
                <w:rFonts w:hint="default"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51B55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813" w:type="dxa"/>
            <w:noWrap w:val="0"/>
            <w:vAlign w:val="center"/>
          </w:tcPr>
          <w:p w14:paraId="7A47DD6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891" w:type="dxa"/>
            <w:noWrap w:val="0"/>
            <w:vAlign w:val="center"/>
          </w:tcPr>
          <w:p w14:paraId="2CDFF2F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207" w:type="dxa"/>
            <w:tcBorders>
              <w:bottom w:val="single" w:color="auto" w:sz="4" w:space="0"/>
            </w:tcBorders>
            <w:noWrap w:val="0"/>
            <w:vAlign w:val="top"/>
          </w:tcPr>
          <w:p w14:paraId="2E63B5C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70591B6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1.投标货物全部或部分为使用大型企业注册商标的货物的；</w:t>
            </w:r>
          </w:p>
          <w:p w14:paraId="33D0DF0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.投标文件中标明的中小企业产品的制造商不符合“工信部联企业[2011]300号”规定的中小企业标准的；</w:t>
            </w:r>
          </w:p>
          <w:p w14:paraId="2C2681A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57E3500F">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17CB106A">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60B54F80">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6425F232">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1E2AE10D">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t>”的条款为关键性条款，对这些关键性条款的任何负偏离或不满足将导致该投标作无效投标处理。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”号条款进行逐条响应，否则评标委员会对其投标做出不利评审，投标人必须自行承担责任。</w:t>
      </w:r>
    </w:p>
    <w:p w14:paraId="37895102">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54B9B5D0">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2012ECE9">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63FB68AB">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510C85F5">
      <w:pPr>
        <w:pStyle w:val="6"/>
        <w:spacing w:after="0" w:line="360" w:lineRule="auto"/>
        <w:ind w:left="0"/>
        <w:rPr>
          <w:rFonts w:hint="eastAsia" w:ascii="宋体" w:hAnsi="宋体" w:eastAsia="宋体" w:cs="宋体"/>
          <w:b/>
          <w:bCs/>
          <w:color w:val="auto"/>
          <w:sz w:val="24"/>
          <w:szCs w:val="24"/>
          <w:highlight w:val="none"/>
        </w:rPr>
      </w:pPr>
    </w:p>
    <w:p w14:paraId="2AA29EA3">
      <w:pPr>
        <w:tabs>
          <w:tab w:val="left" w:pos="5130"/>
        </w:tabs>
        <w:spacing w:line="360" w:lineRule="auto"/>
        <w:ind w:firstLine="480" w:firstLineChars="200"/>
        <w:rPr>
          <w:rFonts w:hint="eastAsia" w:ascii="宋体" w:hAnsi="宋体" w:eastAsia="宋体" w:cs="宋体"/>
          <w:color w:val="auto"/>
          <w:sz w:val="24"/>
          <w:szCs w:val="24"/>
          <w:highlight w:val="none"/>
        </w:rPr>
      </w:pPr>
    </w:p>
    <w:p w14:paraId="3D1FF791">
      <w:pPr>
        <w:tabs>
          <w:tab w:val="left" w:pos="5130"/>
        </w:tabs>
        <w:spacing w:line="360" w:lineRule="auto"/>
        <w:ind w:firstLine="480" w:firstLineChars="200"/>
        <w:rPr>
          <w:rFonts w:hint="eastAsia" w:ascii="宋体" w:hAnsi="宋体" w:eastAsia="宋体" w:cs="宋体"/>
          <w:color w:val="auto"/>
          <w:sz w:val="24"/>
          <w:szCs w:val="24"/>
          <w:highlight w:val="none"/>
        </w:rPr>
      </w:pPr>
    </w:p>
    <w:p w14:paraId="698AAB12">
      <w:pPr>
        <w:tabs>
          <w:tab w:val="left" w:pos="5130"/>
        </w:tabs>
        <w:spacing w:line="360" w:lineRule="auto"/>
        <w:ind w:firstLine="480" w:firstLineChars="200"/>
        <w:rPr>
          <w:rFonts w:hint="eastAsia" w:ascii="宋体" w:hAnsi="宋体" w:eastAsia="宋体" w:cs="宋体"/>
          <w:color w:val="auto"/>
          <w:sz w:val="24"/>
          <w:szCs w:val="24"/>
          <w:highlight w:val="none"/>
        </w:rPr>
      </w:pPr>
    </w:p>
    <w:p w14:paraId="705DE98C">
      <w:pPr>
        <w:tabs>
          <w:tab w:val="left" w:pos="5130"/>
        </w:tabs>
        <w:spacing w:line="360" w:lineRule="auto"/>
        <w:ind w:firstLine="480" w:firstLineChars="200"/>
        <w:rPr>
          <w:rFonts w:hint="eastAsia" w:ascii="宋体" w:hAnsi="宋体" w:eastAsia="宋体" w:cs="宋体"/>
          <w:color w:val="auto"/>
          <w:sz w:val="24"/>
          <w:szCs w:val="24"/>
          <w:highlight w:val="none"/>
        </w:rPr>
      </w:pPr>
    </w:p>
    <w:p w14:paraId="669ADF33">
      <w:pPr>
        <w:tabs>
          <w:tab w:val="left" w:pos="5130"/>
        </w:tabs>
        <w:spacing w:line="360" w:lineRule="auto"/>
        <w:ind w:firstLine="480" w:firstLineChars="200"/>
        <w:rPr>
          <w:rFonts w:hint="eastAsia" w:ascii="宋体" w:hAnsi="宋体" w:eastAsia="宋体" w:cs="宋体"/>
          <w:color w:val="auto"/>
          <w:sz w:val="24"/>
          <w:szCs w:val="24"/>
          <w:highlight w:val="none"/>
        </w:rPr>
      </w:pPr>
    </w:p>
    <w:p w14:paraId="67A1E3D8">
      <w:pPr>
        <w:tabs>
          <w:tab w:val="left" w:pos="5130"/>
        </w:tabs>
        <w:spacing w:line="360" w:lineRule="auto"/>
        <w:ind w:firstLine="480" w:firstLineChars="200"/>
        <w:rPr>
          <w:rFonts w:hint="eastAsia" w:ascii="宋体" w:hAnsi="宋体" w:eastAsia="宋体" w:cs="宋体"/>
          <w:color w:val="auto"/>
          <w:sz w:val="24"/>
          <w:szCs w:val="24"/>
          <w:highlight w:val="none"/>
        </w:rPr>
      </w:pPr>
    </w:p>
    <w:p w14:paraId="180EEBFA">
      <w:pPr>
        <w:tabs>
          <w:tab w:val="left" w:pos="5130"/>
        </w:tabs>
        <w:spacing w:line="360" w:lineRule="auto"/>
        <w:ind w:firstLine="480" w:firstLineChars="200"/>
        <w:rPr>
          <w:rFonts w:hint="eastAsia" w:ascii="宋体" w:hAnsi="宋体" w:eastAsia="宋体" w:cs="宋体"/>
          <w:color w:val="auto"/>
          <w:sz w:val="24"/>
          <w:szCs w:val="24"/>
          <w:highlight w:val="none"/>
        </w:rPr>
      </w:pPr>
    </w:p>
    <w:p w14:paraId="2C03E1A9">
      <w:pPr>
        <w:tabs>
          <w:tab w:val="left" w:pos="5130"/>
        </w:tabs>
        <w:spacing w:line="360" w:lineRule="auto"/>
        <w:ind w:firstLine="480" w:firstLineChars="200"/>
        <w:rPr>
          <w:rFonts w:hint="eastAsia" w:ascii="宋体" w:hAnsi="宋体" w:eastAsia="宋体" w:cs="宋体"/>
          <w:color w:val="auto"/>
          <w:sz w:val="24"/>
          <w:szCs w:val="24"/>
          <w:highlight w:val="none"/>
        </w:rPr>
      </w:pPr>
    </w:p>
    <w:p w14:paraId="3079BC40">
      <w:pPr>
        <w:tabs>
          <w:tab w:val="left" w:pos="5130"/>
        </w:tabs>
        <w:spacing w:line="360" w:lineRule="auto"/>
        <w:ind w:firstLine="480" w:firstLineChars="200"/>
        <w:rPr>
          <w:rFonts w:hint="eastAsia" w:ascii="宋体" w:hAnsi="宋体" w:eastAsia="宋体" w:cs="宋体"/>
          <w:color w:val="auto"/>
          <w:sz w:val="24"/>
          <w:szCs w:val="24"/>
          <w:highlight w:val="none"/>
        </w:rPr>
      </w:pPr>
    </w:p>
    <w:p w14:paraId="7CA4F33A">
      <w:pPr>
        <w:tabs>
          <w:tab w:val="left" w:pos="5130"/>
        </w:tabs>
        <w:spacing w:line="360" w:lineRule="auto"/>
        <w:ind w:firstLine="480" w:firstLineChars="200"/>
        <w:rPr>
          <w:rFonts w:hint="eastAsia" w:ascii="宋体" w:hAnsi="宋体" w:eastAsia="宋体" w:cs="宋体"/>
          <w:color w:val="auto"/>
          <w:sz w:val="24"/>
          <w:szCs w:val="24"/>
          <w:highlight w:val="none"/>
        </w:rPr>
      </w:pPr>
    </w:p>
    <w:p w14:paraId="4E7EA061">
      <w:pPr>
        <w:tabs>
          <w:tab w:val="left" w:pos="5130"/>
        </w:tabs>
        <w:spacing w:line="360" w:lineRule="auto"/>
        <w:ind w:firstLine="480" w:firstLineChars="200"/>
        <w:rPr>
          <w:rFonts w:hint="eastAsia" w:ascii="宋体" w:hAnsi="宋体" w:eastAsia="宋体" w:cs="宋体"/>
          <w:color w:val="auto"/>
          <w:sz w:val="24"/>
          <w:szCs w:val="24"/>
          <w:highlight w:val="none"/>
        </w:rPr>
      </w:pPr>
    </w:p>
    <w:p w14:paraId="47DFEC71">
      <w:pPr>
        <w:tabs>
          <w:tab w:val="left" w:pos="5130"/>
        </w:tabs>
        <w:spacing w:line="360" w:lineRule="auto"/>
        <w:ind w:firstLine="480" w:firstLineChars="200"/>
        <w:rPr>
          <w:rFonts w:hint="eastAsia" w:ascii="宋体" w:hAnsi="宋体" w:eastAsia="宋体" w:cs="宋体"/>
          <w:color w:val="auto"/>
          <w:sz w:val="24"/>
          <w:szCs w:val="24"/>
          <w:highlight w:val="none"/>
        </w:rPr>
      </w:pPr>
    </w:p>
    <w:p w14:paraId="11B3EAE0">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44B87544">
      <w:pPr>
        <w:spacing w:line="360" w:lineRule="auto"/>
        <w:ind w:firstLine="482" w:firstLineChars="200"/>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一、采购项目一览表</w:t>
      </w:r>
    </w:p>
    <w:p w14:paraId="39A600E4">
      <w:pPr>
        <w:spacing w:line="360" w:lineRule="auto"/>
        <w:ind w:firstLine="482" w:firstLineChars="200"/>
        <w:jc w:val="left"/>
        <w:rPr>
          <w:rFonts w:hint="eastAsia" w:ascii="宋体" w:hAnsi="宋体" w:cs="宋体"/>
          <w:b/>
          <w:color w:val="auto"/>
          <w:sz w:val="24"/>
          <w:szCs w:val="24"/>
          <w:highlight w:val="none"/>
        </w:rPr>
      </w:pPr>
      <w:r>
        <w:rPr>
          <w:rFonts w:hint="eastAsia" w:ascii="宋体" w:hAnsi="宋体"/>
          <w:b/>
          <w:color w:val="auto"/>
          <w:sz w:val="24"/>
          <w:highlight w:val="none"/>
          <w:lang w:val="en-US" w:eastAsia="zh-CN"/>
        </w:rPr>
        <w:t>1、</w:t>
      </w:r>
      <w:r>
        <w:rPr>
          <w:rFonts w:hint="eastAsia" w:ascii="宋体" w:hAnsi="宋体"/>
          <w:b/>
          <w:color w:val="auto"/>
          <w:sz w:val="24"/>
          <w:highlight w:val="none"/>
        </w:rPr>
        <w:t>采购清单</w:t>
      </w:r>
    </w:p>
    <w:tbl>
      <w:tblPr>
        <w:tblStyle w:val="12"/>
        <w:tblpPr w:leftFromText="180" w:rightFromText="180" w:vertAnchor="text" w:horzAnchor="page" w:tblpX="1084" w:tblpY="282"/>
        <w:tblOverlap w:val="never"/>
        <w:tblW w:w="10503" w:type="dxa"/>
        <w:tblInd w:w="0" w:type="dxa"/>
        <w:tblLayout w:type="fixed"/>
        <w:tblCellMar>
          <w:top w:w="0" w:type="dxa"/>
          <w:left w:w="108" w:type="dxa"/>
          <w:bottom w:w="0" w:type="dxa"/>
          <w:right w:w="108" w:type="dxa"/>
        </w:tblCellMar>
      </w:tblPr>
      <w:tblGrid>
        <w:gridCol w:w="760"/>
        <w:gridCol w:w="803"/>
        <w:gridCol w:w="1634"/>
        <w:gridCol w:w="5933"/>
        <w:gridCol w:w="797"/>
        <w:gridCol w:w="576"/>
      </w:tblGrid>
      <w:tr w14:paraId="0AEA70E7">
        <w:tblPrEx>
          <w:tblCellMar>
            <w:top w:w="0" w:type="dxa"/>
            <w:left w:w="108" w:type="dxa"/>
            <w:bottom w:w="0" w:type="dxa"/>
            <w:right w:w="108" w:type="dxa"/>
          </w:tblCellMar>
        </w:tblPrEx>
        <w:trPr>
          <w:trHeight w:val="420"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1A41B344">
            <w:pPr>
              <w:keepNext w:val="0"/>
              <w:keepLines w:val="0"/>
              <w:suppressLineNumbers w:val="0"/>
              <w:spacing w:before="0" w:beforeAutospacing="0" w:after="0" w:afterAutospacing="0" w:line="360" w:lineRule="auto"/>
              <w:ind w:left="0" w:right="0"/>
              <w:rPr>
                <w:rFonts w:hint="default" w:asciiTheme="minorEastAsia" w:hAnsiTheme="minorEastAsia" w:eastAsiaTheme="minorEastAsia" w:cstheme="minorEastAsia"/>
                <w:b/>
                <w:color w:val="auto"/>
                <w:sz w:val="24"/>
                <w:szCs w:val="24"/>
                <w:highlight w:val="none"/>
              </w:rPr>
            </w:pPr>
            <w:r>
              <w:rPr>
                <w:rStyle w:val="18"/>
                <w:rFonts w:asciiTheme="minorEastAsia" w:hAnsiTheme="minorEastAsia" w:eastAsiaTheme="minorEastAsia" w:cstheme="minorEastAsia"/>
                <w:bCs w:val="0"/>
                <w:color w:val="auto"/>
                <w:sz w:val="24"/>
                <w:szCs w:val="24"/>
                <w:highlight w:val="none"/>
              </w:rPr>
              <w:t>品目号</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538059F8">
            <w:pPr>
              <w:keepNext w:val="0"/>
              <w:keepLines w:val="0"/>
              <w:widowControl/>
              <w:suppressLineNumbers w:val="0"/>
              <w:spacing w:before="0" w:beforeAutospacing="0" w:after="0" w:afterAutospacing="0" w:line="360" w:lineRule="auto"/>
              <w:ind w:left="0" w:right="0"/>
              <w:jc w:val="center"/>
              <w:textAlignment w:val="center"/>
              <w:rPr>
                <w:rFonts w:hint="default" w:asciiTheme="minorEastAsia" w:hAnsiTheme="minorEastAsia" w:eastAsiaTheme="minorEastAsia" w:cstheme="minorEastAsia"/>
                <w:b/>
                <w:color w:val="auto"/>
                <w:sz w:val="24"/>
                <w:szCs w:val="24"/>
                <w:highlight w:val="none"/>
              </w:rPr>
            </w:pPr>
            <w:r>
              <w:rPr>
                <w:rStyle w:val="18"/>
                <w:rFonts w:asciiTheme="minorEastAsia" w:hAnsiTheme="minorEastAsia" w:eastAsiaTheme="minorEastAsia" w:cstheme="minorEastAsia"/>
                <w:bCs w:val="0"/>
                <w:color w:val="auto"/>
                <w:sz w:val="24"/>
                <w:szCs w:val="24"/>
                <w:highlight w:val="none"/>
              </w:rPr>
              <w:t>货物名称</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25E9C7A7">
            <w:pPr>
              <w:keepNext w:val="0"/>
              <w:keepLines w:val="0"/>
              <w:widowControl/>
              <w:suppressLineNumbers w:val="0"/>
              <w:spacing w:before="0" w:beforeAutospacing="0" w:after="0" w:afterAutospacing="0" w:line="360" w:lineRule="auto"/>
              <w:ind w:left="0" w:right="0"/>
              <w:jc w:val="center"/>
              <w:textAlignment w:val="center"/>
              <w:rPr>
                <w:rStyle w:val="18"/>
                <w:rFonts w:hint="default" w:asciiTheme="minorEastAsia" w:hAnsiTheme="minorEastAsia" w:eastAsiaTheme="minorEastAsia" w:cstheme="minorEastAsia"/>
                <w:bCs w:val="0"/>
                <w:color w:val="auto"/>
                <w:sz w:val="24"/>
                <w:szCs w:val="24"/>
                <w:highlight w:val="none"/>
              </w:rPr>
            </w:pPr>
            <w:r>
              <w:rPr>
                <w:rStyle w:val="18"/>
                <w:rFonts w:hint="default" w:asciiTheme="minorEastAsia" w:hAnsiTheme="minorEastAsia" w:eastAsiaTheme="minorEastAsia" w:cstheme="minorEastAsia"/>
                <w:bCs w:val="0"/>
                <w:color w:val="auto"/>
                <w:sz w:val="24"/>
                <w:szCs w:val="24"/>
                <w:highlight w:val="none"/>
              </w:rPr>
              <w:t>参考图片（非产品图）</w:t>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1149057A">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color w:val="auto"/>
                <w:sz w:val="24"/>
                <w:szCs w:val="24"/>
                <w:highlight w:val="none"/>
              </w:rPr>
            </w:pPr>
            <w:r>
              <w:rPr>
                <w:rStyle w:val="18"/>
                <w:rFonts w:asciiTheme="minorEastAsia" w:hAnsiTheme="minorEastAsia" w:eastAsiaTheme="minorEastAsia" w:cstheme="minorEastAsia"/>
                <w:color w:val="auto"/>
                <w:sz w:val="24"/>
                <w:szCs w:val="24"/>
                <w:highlight w:val="none"/>
              </w:rPr>
              <w:t>主要技术</w:t>
            </w:r>
            <w:r>
              <w:rPr>
                <w:rStyle w:val="18"/>
                <w:rFonts w:hint="eastAsia" w:asciiTheme="minorEastAsia" w:hAnsiTheme="minorEastAsia" w:eastAsiaTheme="minorEastAsia" w:cstheme="minorEastAsia"/>
                <w:color w:val="auto"/>
                <w:sz w:val="24"/>
                <w:szCs w:val="24"/>
                <w:highlight w:val="none"/>
                <w:lang w:val="en-US" w:eastAsia="zh-CN"/>
              </w:rPr>
              <w:t>要求</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019630B6">
            <w:pPr>
              <w:keepNext w:val="0"/>
              <w:keepLines w:val="0"/>
              <w:suppressLineNumbers w:val="0"/>
              <w:spacing w:before="0" w:beforeAutospacing="0" w:after="0" w:afterAutospacing="0" w:line="360" w:lineRule="auto"/>
              <w:ind w:left="0" w:right="0"/>
              <w:rPr>
                <w:rStyle w:val="18"/>
                <w:rFonts w:hint="default" w:asciiTheme="minorEastAsia" w:hAnsiTheme="minorEastAsia" w:eastAsiaTheme="minorEastAsia" w:cstheme="minorEastAsia"/>
                <w:color w:val="auto"/>
                <w:sz w:val="24"/>
                <w:szCs w:val="24"/>
                <w:highlight w:val="none"/>
              </w:rPr>
            </w:pPr>
            <w:r>
              <w:rPr>
                <w:rStyle w:val="18"/>
                <w:rFonts w:hint="eastAsia" w:asciiTheme="minorEastAsia" w:hAnsiTheme="minorEastAsia" w:eastAsiaTheme="minorEastAsia" w:cstheme="minorEastAsia"/>
                <w:color w:val="auto"/>
                <w:sz w:val="24"/>
                <w:szCs w:val="24"/>
                <w:highlight w:val="none"/>
                <w:lang w:val="en-US" w:eastAsia="zh-CN"/>
              </w:rPr>
              <w:t>预估</w:t>
            </w:r>
            <w:r>
              <w:rPr>
                <w:rStyle w:val="18"/>
                <w:rFonts w:asciiTheme="minorEastAsia" w:hAnsiTheme="minorEastAsia" w:eastAsiaTheme="minorEastAsia" w:cstheme="minorEastAsia"/>
                <w:color w:val="auto"/>
                <w:sz w:val="24"/>
                <w:szCs w:val="24"/>
                <w:highlight w:val="none"/>
              </w:rPr>
              <w:t>数量</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43EB57EE">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color w:val="auto"/>
                <w:sz w:val="24"/>
                <w:szCs w:val="24"/>
                <w:highlight w:val="none"/>
                <w:lang w:eastAsia="zh-CN"/>
              </w:rPr>
            </w:pPr>
            <w:r>
              <w:rPr>
                <w:rStyle w:val="18"/>
                <w:rFonts w:hint="eastAsia" w:asciiTheme="minorEastAsia" w:hAnsiTheme="minorEastAsia" w:eastAsiaTheme="minorEastAsia" w:cstheme="minorEastAsia"/>
                <w:color w:val="auto"/>
                <w:sz w:val="24"/>
                <w:szCs w:val="24"/>
                <w:highlight w:val="none"/>
                <w:lang w:val="en-US" w:eastAsia="zh-CN"/>
              </w:rPr>
              <w:t>单位</w:t>
            </w:r>
          </w:p>
        </w:tc>
      </w:tr>
      <w:tr w14:paraId="5C2506A7">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2175AF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1</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6997C47B">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公寓组合铁床</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759AB811">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color w:val="auto"/>
                <w:highlight w:val="none"/>
              </w:rPr>
              <w:drawing>
                <wp:inline distT="0" distB="0" distL="114300" distR="114300">
                  <wp:extent cx="702310" cy="895985"/>
                  <wp:effectExtent l="0" t="0" r="13970" b="3175"/>
                  <wp:docPr id="19663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31" name="图片 9"/>
                          <pic:cNvPicPr>
                            <a:picLocks noChangeAspect="1"/>
                          </pic:cNvPicPr>
                        </pic:nvPicPr>
                        <pic:blipFill>
                          <a:blip r:embed="rId18"/>
                          <a:stretch>
                            <a:fillRect/>
                          </a:stretch>
                        </pic:blipFill>
                        <pic:spPr>
                          <a:xfrm>
                            <a:off x="0" y="0"/>
                            <a:ext cx="702310" cy="895985"/>
                          </a:xfrm>
                          <a:prstGeom prst="rect">
                            <a:avLst/>
                          </a:prstGeom>
                          <a:noFill/>
                          <a:ln w="9525">
                            <a:noFill/>
                          </a:ln>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27CE0A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单人位：规格为2000*900*2070mm</w:t>
            </w:r>
          </w:p>
          <w:p w14:paraId="2AF06D32">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床两侧立柱采用环形密闭冷轧钢管，厚度≥1.5mm，外径≥72mm，横面40mm,弧形面至少有三条内凹加强筋。档头采用20mm*20mm方管。床立柱上下横面采用灰白色塑料外套，外套一次冲压面成高50mm、厚≥2mm，外为弧形，内为直角折面，与弧形面相连的两面为45mm，对边长80mm，脚垫底部必须有方格状防滑设计，与脚垫一次性冲压成型。</w:t>
            </w:r>
          </w:p>
          <w:p w14:paraId="778371B4">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（2）床卡扣≥31mm×26mm×205mm×3.0mm，卡齿≥3个，卡齿外径≥12mm；整体卡扣隐藏式,表面平整光滑，无冲压孔，安装后挂齿不外露；卡齿不采用焊接，通过冲压铆压成型，确保牢固。</w:t>
            </w:r>
          </w:p>
          <w:p w14:paraId="6325039B">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（3）床长横梁、上下短横梁：70*30mm密闭方管,厚度≥1.2mm。在床横梁上一次性冲压卡槽，插放卡片规格为90*40mm。</w:t>
            </w:r>
          </w:p>
          <w:p w14:paraId="1DD9F1BF">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（4）床板底下横杆5根：25*25mm密闭方管,厚度≥1.2mm。</w:t>
            </w:r>
          </w:p>
          <w:p w14:paraId="5F7EE53A">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（5）床护栏方管20mm×20mm,厚度≥1.2mm，护栏高度≥300mm。</w:t>
            </w:r>
          </w:p>
          <w:p w14:paraId="5DE48228">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（6）床横梁下方设计三角形加固件，规格125mm*125mm，厚度≥1.2mm,外侧面为弧形设计，内设计两个外形接近三角形的加强筋设计,两边长各不小于90mm、60mm。</w:t>
            </w:r>
          </w:p>
          <w:p w14:paraId="62D9CC97">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7）床两侧蚊帐架采用伸缩塑料配件，可自由伸缩。伸缩件包含环形管套，外径66mm，横面34mm；伸缩膨胀件上下各有6个卡齿。床中间立柱蚊帐架也采用伸缩塑料配件。蚊帐架采用直径16mm圆管，钢管的顶部采用一次性整体拉圆，不采用焊接，不采用塑料塞套。</w:t>
            </w:r>
          </w:p>
          <w:p w14:paraId="08B29232">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8）所有钢材均采用国家标准钢，高频焊接,各钢件经除锈、酸洗、磷化等工序,经防锈处理,外层采用聚脂环氧粉末喷塑,颜色为灰白色,焊接表面波纹均匀,焊接处无夹渣、气孔、焊瘤、焊丝头咬边飞溅，并保证无脱焊、虚焊及焊穿等现象。</w:t>
            </w:r>
          </w:p>
          <w:p w14:paraId="5391246B">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（9）未标明±偏离值的尺寸，允许±3%。</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7C6FBB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2778</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50C064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张</w:t>
            </w:r>
          </w:p>
        </w:tc>
      </w:tr>
      <w:tr w14:paraId="5331670C">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21DBEC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i w:val="0"/>
                <w:iCs w:val="0"/>
                <w:caps w:val="0"/>
                <w:color w:val="auto"/>
                <w:spacing w:val="0"/>
                <w:sz w:val="24"/>
                <w:szCs w:val="24"/>
                <w:highlight w:val="none"/>
                <w:shd w:val="clear" w:fill="FFFFFF"/>
                <w:lang w:val="en-US" w:eastAsia="zh-CN"/>
              </w:rPr>
            </w:pPr>
            <w:r>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t>2</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383A1C31">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公寓组合铁床（带爬梯）</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775FE598">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asciiTheme="minorEastAsia" w:hAnsiTheme="minorEastAsia" w:eastAsiaTheme="minorEastAsia" w:cstheme="minorEastAsia"/>
                <w:color w:val="auto"/>
                <w:sz w:val="24"/>
                <w:szCs w:val="24"/>
                <w:highlight w:val="none"/>
                <w:lang w:eastAsia="zh-CN"/>
              </w:rPr>
              <w:drawing>
                <wp:inline distT="0" distB="0" distL="114300" distR="114300">
                  <wp:extent cx="628650" cy="742950"/>
                  <wp:effectExtent l="0" t="0" r="11430" b="381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628650" cy="742950"/>
                          </a:xfrm>
                          <a:prstGeom prst="rect">
                            <a:avLst/>
                          </a:prstGeom>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6A5E0F0A">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textAlignment w:val="auto"/>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单人位：规格为2000*900*2070mm</w:t>
            </w:r>
          </w:p>
          <w:p w14:paraId="41650A38">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床两侧立柱采用环形密闭冷轧钢管，厚度≥1.5mm，外径≥72mm，横面40mm,弧形面至少有三条内凹加强筋。档头采用20mm*20mm方管。床立柱上下横面采用灰白色塑料外套，外套一次冲压面成高50mm、厚≥2mm，外为弧形，内为直角折面，与弧形面相连的两面为45mm，对边长80mm，脚垫底部必须有方格状防滑设计，与脚垫一次性冲压成型。</w:t>
            </w:r>
          </w:p>
          <w:p w14:paraId="72D33686">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（2）床卡扣≥31mm×26mm×205mm×3.0mm，卡齿≥3个，卡齿外径≥12mm；整体卡扣隐藏式,表面平整光滑，无冲压孔，安装后挂齿不外露；卡齿不采用焊接，通过冲压铆压成型，确保牢固。</w:t>
            </w:r>
          </w:p>
          <w:p w14:paraId="0FFA36A6">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（3）床长横梁、上下短横梁：70*30mm密闭方管,厚度≥1.2mm。在床横梁上一次性冲压卡槽，插放卡片规格为90*40mm。</w:t>
            </w:r>
          </w:p>
          <w:p w14:paraId="654E7F52">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（4）床板底下横杆5根：25*25mm密闭方管,厚度≥1.2mm。</w:t>
            </w:r>
          </w:p>
          <w:p w14:paraId="1C822368">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（5）床护栏方管20mm×20mm,厚度≥1.2mm，护栏高度≥300mm。</w:t>
            </w:r>
          </w:p>
          <w:p w14:paraId="1AB0878C">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（6）床横梁下方设计三角形加固件，规格125mm*125mm，厚度≥1.2mm,外侧面为弧形设计，内设计两个外形接近三角形的加强筋设计,两边长各不小于90mm、60mm。</w:t>
            </w:r>
          </w:p>
          <w:p w14:paraId="6573874B">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7）床两侧蚊帐架采用伸缩塑料配件，可自由伸缩。伸缩件包含环形管套，外径66mm，横面34mm；伸缩膨胀件上下各有6个卡齿。床中间立柱蚊帐架也采用伸缩塑料配件。蚊帐架采用直径16mm圆管，钢管的顶部采用一次性整体拉圆，不采用焊接，不采用塑料塞套。</w:t>
            </w:r>
          </w:p>
          <w:p w14:paraId="6916A4F0">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8）所有钢材均采用国家标准钢，高频焊接,各钢件经除锈、酸洗、磷化等工序,经防锈处理,外层采用聚脂环氧粉末喷塑,颜色为灰白色,焊接表面波纹均匀,焊接处无夹渣、气孔、焊瘤、焊丝头咬边飞溅，并保证无脱焊、虚焊及焊穿等现象。</w:t>
            </w:r>
          </w:p>
          <w:p w14:paraId="79CAD9A7">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（9）床梯立柱：≥40mm*20mm椭圆管，厚度≥1.2mm；床梯踏板350*130*18mm，钢板厚≥1.5mm(防滑条纹)</w:t>
            </w:r>
          </w:p>
          <w:p w14:paraId="22BB3153">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（10）未标明±偏离值的尺寸，允许±3%。</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2120EC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212</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707274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张</w:t>
            </w:r>
          </w:p>
        </w:tc>
      </w:tr>
      <w:tr w14:paraId="377DA492">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566928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i w:val="0"/>
                <w:iCs w:val="0"/>
                <w:caps w:val="0"/>
                <w:color w:val="auto"/>
                <w:spacing w:val="0"/>
                <w:sz w:val="24"/>
                <w:szCs w:val="24"/>
                <w:highlight w:val="none"/>
                <w:shd w:val="clear" w:fill="FFFFFF"/>
                <w:lang w:val="en-US" w:eastAsia="zh-CN"/>
              </w:rPr>
            </w:pPr>
            <w:r>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t>3</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7D5B44B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中梯</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76EAE73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color w:val="auto"/>
                <w:highlight w:val="none"/>
              </w:rPr>
              <w:drawing>
                <wp:inline distT="0" distB="0" distL="114300" distR="114300">
                  <wp:extent cx="484505" cy="770255"/>
                  <wp:effectExtent l="0" t="0" r="3175" b="6985"/>
                  <wp:docPr id="1966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30" name="图片 1"/>
                          <pic:cNvPicPr>
                            <a:picLocks noChangeAspect="1"/>
                          </pic:cNvPicPr>
                        </pic:nvPicPr>
                        <pic:blipFill>
                          <a:blip r:embed="rId20"/>
                          <a:stretch>
                            <a:fillRect/>
                          </a:stretch>
                        </pic:blipFill>
                        <pic:spPr>
                          <a:xfrm>
                            <a:off x="0" y="0"/>
                            <a:ext cx="484505" cy="770255"/>
                          </a:xfrm>
                          <a:prstGeom prst="rect">
                            <a:avLst/>
                          </a:prstGeom>
                          <a:noFill/>
                          <a:ln w="9525">
                            <a:noFill/>
                          </a:ln>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7C8A65C2">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规格：宽度500mm</w:t>
            </w:r>
          </w:p>
          <w:p w14:paraId="11ED0EB9">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基材采用18mmE1级三聚氰胺中纤板 ，经干燥、除湿、防虫蛀，封边采用≥1.2mm厚同色PVC全自动封边机热熔胶封边，封边牢固、不易脱胶。踏板采用中空吹塑。框架采用钢制框架，确保承受力。每个踏步底均可储物柜,门合页采用隐藏式，不凸出板面，门板正面无开槽，可180打开，合页总长95mm，宽46m。</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19640F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1458</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72DDA0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个</w:t>
            </w:r>
          </w:p>
        </w:tc>
      </w:tr>
      <w:tr w14:paraId="7B8B534D">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2E443C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i w:val="0"/>
                <w:iCs w:val="0"/>
                <w:caps w:val="0"/>
                <w:color w:val="auto"/>
                <w:spacing w:val="0"/>
                <w:sz w:val="24"/>
                <w:szCs w:val="24"/>
                <w:highlight w:val="none"/>
                <w:shd w:val="clear" w:fill="FFFFFF"/>
                <w:lang w:val="en-US" w:eastAsia="zh-CN"/>
              </w:rPr>
            </w:pPr>
            <w:r>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t>4</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06F17F60">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组合家具1（含书桌、衣柜）</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385DB15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asciiTheme="minorEastAsia" w:hAnsiTheme="minorEastAsia" w:eastAsiaTheme="minorEastAsia" w:cstheme="minorEastAsia"/>
                <w:color w:val="auto"/>
                <w:sz w:val="24"/>
                <w:szCs w:val="24"/>
                <w:highlight w:val="none"/>
                <w:lang w:eastAsia="zh-CN"/>
              </w:rPr>
              <w:drawing>
                <wp:inline distT="0" distB="0" distL="114300" distR="114300">
                  <wp:extent cx="791210" cy="707390"/>
                  <wp:effectExtent l="0" t="0" r="1270" b="889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791210" cy="707390"/>
                          </a:xfrm>
                          <a:prstGeom prst="rect">
                            <a:avLst/>
                          </a:prstGeom>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7235CF47">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规格：1900*600*1690mm</w:t>
            </w:r>
          </w:p>
          <w:p w14:paraId="209BC76B">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（1）桌面采用≥25mm，其余基材采用≥18mmE1级三聚氰胺中纤板 ，经干燥、除湿、防虫蛀；封边采用≥1.2mm厚同色PVC全自动封边机热熔胶封边，封边牢固、不易脱胶。背板采用≥9mm中纤板（双面贴）。</w:t>
            </w:r>
          </w:p>
          <w:p w14:paraId="44AFA47A">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桌子底部设计防水钢制脚架，落地脚采用方管60*60*1.2mm。外套脚垫为灰白色一次注塑成高40mm、厚度≥2mm，脚垫外径不小于63mm，脚垫底部有方格防滑设计，与脚垫一次性注塑成型，外套脚垫需与支撑脚架紧密连接，不得落，必要时用胶水固定。</w:t>
            </w:r>
          </w:p>
          <w:p w14:paraId="47239B90">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（3）合页采用隐藏式，不凸出板面，门板正面无开槽，可180度打开，合页总长95mm，宽46mm。</w:t>
            </w:r>
          </w:p>
          <w:p w14:paraId="24AD4ABA">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（4）配置挂锁，锁扣片材质为不锈钢，宽度22mm，厚度≥3mm； 锁扣片外有不锈钢盖片，长度不小于60mm，宽度30mm。柜子拉手采用一次成型，不使用五金配件。</w:t>
            </w:r>
          </w:p>
          <w:p w14:paraId="4935F00D">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leftChars="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（5）未标明±偏离值的尺寸，允许±3%。</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1BC22E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2778</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201CA7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套</w:t>
            </w:r>
          </w:p>
        </w:tc>
      </w:tr>
      <w:tr w14:paraId="5A2E62EC">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2BC62E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i w:val="0"/>
                <w:iCs w:val="0"/>
                <w:caps w:val="0"/>
                <w:color w:val="auto"/>
                <w:spacing w:val="0"/>
                <w:sz w:val="24"/>
                <w:szCs w:val="24"/>
                <w:highlight w:val="none"/>
                <w:shd w:val="clear" w:fill="FFFFFF"/>
                <w:lang w:val="en-US" w:eastAsia="zh-CN"/>
              </w:rPr>
            </w:pPr>
            <w:r>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t>5</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2429C1A2">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组合家具2（含书桌、衣柜）</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18B87F53">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asciiTheme="minorEastAsia" w:hAnsiTheme="minorEastAsia" w:eastAsiaTheme="minorEastAsia" w:cstheme="minorEastAsia"/>
                <w:color w:val="auto"/>
                <w:sz w:val="24"/>
                <w:szCs w:val="24"/>
                <w:highlight w:val="none"/>
                <w:lang w:eastAsia="zh-CN"/>
              </w:rPr>
              <w:drawing>
                <wp:inline distT="0" distB="0" distL="114300" distR="114300">
                  <wp:extent cx="790575" cy="735965"/>
                  <wp:effectExtent l="0" t="0" r="1905" b="1079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790575" cy="735965"/>
                          </a:xfrm>
                          <a:prstGeom prst="rect">
                            <a:avLst/>
                          </a:prstGeom>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4B666EB9">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规格：1900*600*1690mm</w:t>
            </w:r>
          </w:p>
          <w:p w14:paraId="3BD45E9E">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（1）桌面采用≥25mm，其余基材采用≥18mmE1级三聚氰胺中纤板 ，经干燥、除湿、防虫蛀；封边采用≥1.2mm厚同色PVC全自动封边机热熔胶封边，封边牢固、不易脱胶。背板采用≥9mm中纤板（双面贴）。</w:t>
            </w:r>
          </w:p>
          <w:p w14:paraId="6F0B1E33">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桌子底部设计防水钢制脚架，落地脚采用方管60*60*1.2mm。外套脚垫为灰白色一次注塑成高40mm、厚度≥2mm，脚垫外径不小于63mm，脚垫底部有方格防滑设计，与脚垫一次性注塑成型，外套脚垫需与支撑脚架紧密连接，不得落，必要时用胶水固定。</w:t>
            </w:r>
          </w:p>
          <w:p w14:paraId="7464E417">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（3）合页采用隐藏式，不凸出板面，门板正面无开槽，可180度打开，合页总长95mm，宽46mm。</w:t>
            </w:r>
          </w:p>
          <w:p w14:paraId="7DF105EC">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（4）配置挂锁，锁扣片材质为不锈钢，宽度22mm，厚度≥3mm； 锁扣片外有不锈钢盖片，长度不小于60mm，宽度30mm。</w:t>
            </w:r>
          </w:p>
          <w:p w14:paraId="3DCE1F97">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（5）未标明±偏离值的尺寸，允许±3%。</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07A724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212</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5D2013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套</w:t>
            </w:r>
          </w:p>
        </w:tc>
      </w:tr>
      <w:tr w14:paraId="37E0647D">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4FF35D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i w:val="0"/>
                <w:iCs w:val="0"/>
                <w:caps w:val="0"/>
                <w:color w:val="auto"/>
                <w:spacing w:val="0"/>
                <w:sz w:val="24"/>
                <w:szCs w:val="24"/>
                <w:highlight w:val="none"/>
                <w:shd w:val="clear" w:fill="FFFFFF"/>
                <w:lang w:val="en-US" w:eastAsia="zh-CN"/>
              </w:rPr>
            </w:pPr>
            <w:r>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t>6</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1EAB344A">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学生公寓床板</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7A2B3B29">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asciiTheme="minorEastAsia" w:hAnsiTheme="minorEastAsia" w:eastAsiaTheme="minorEastAsia" w:cstheme="minorEastAsia"/>
                <w:color w:val="auto"/>
                <w:sz w:val="24"/>
                <w:szCs w:val="24"/>
                <w:highlight w:val="none"/>
                <w:lang w:eastAsia="zh-CN"/>
              </w:rPr>
              <w:drawing>
                <wp:inline distT="0" distB="0" distL="114300" distR="114300">
                  <wp:extent cx="790575" cy="225425"/>
                  <wp:effectExtent l="0" t="0" r="1905" b="317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3"/>
                          <a:stretch>
                            <a:fillRect/>
                          </a:stretch>
                        </pic:blipFill>
                        <pic:spPr>
                          <a:xfrm>
                            <a:off x="0" y="0"/>
                            <a:ext cx="790575" cy="225425"/>
                          </a:xfrm>
                          <a:prstGeom prst="rect">
                            <a:avLst/>
                          </a:prstGeom>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1414242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规格：与铁床匹配</w:t>
            </w:r>
          </w:p>
          <w:p w14:paraId="41C1652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（1）床板采用≥15mm杉木，5-7片拼接而成，两面刨光拼接而成，经干燥、防腐、防蛀、刨光处理，板底加固4根40×30mm杉木条为支撑点，制作牢固可靠，双面平整，与铁床匹配。</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11CEF5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2990</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6F1F71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张</w:t>
            </w:r>
          </w:p>
        </w:tc>
      </w:tr>
      <w:tr w14:paraId="0C8C1B34">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6898BD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i w:val="0"/>
                <w:iCs w:val="0"/>
                <w:caps w:val="0"/>
                <w:color w:val="auto"/>
                <w:spacing w:val="0"/>
                <w:sz w:val="24"/>
                <w:szCs w:val="24"/>
                <w:highlight w:val="none"/>
                <w:shd w:val="clear" w:fill="FFFFFF"/>
                <w:lang w:val="en-US" w:eastAsia="zh-CN"/>
              </w:rPr>
            </w:pPr>
            <w:r>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t>7</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704CAFF7">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公寓椅</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065C67C2">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asciiTheme="minorEastAsia" w:hAnsiTheme="minorEastAsia" w:eastAsiaTheme="minorEastAsia" w:cstheme="minorEastAsia"/>
                <w:color w:val="auto"/>
                <w:sz w:val="24"/>
                <w:szCs w:val="24"/>
                <w:highlight w:val="none"/>
                <w:lang w:eastAsia="zh-CN"/>
              </w:rPr>
              <w:drawing>
                <wp:inline distT="0" distB="0" distL="114300" distR="114300">
                  <wp:extent cx="600075" cy="6762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4"/>
                          <a:stretch>
                            <a:fillRect/>
                          </a:stretch>
                        </pic:blipFill>
                        <pic:spPr>
                          <a:xfrm>
                            <a:off x="0" y="0"/>
                            <a:ext cx="600075" cy="676275"/>
                          </a:xfrm>
                          <a:prstGeom prst="rect">
                            <a:avLst/>
                          </a:prstGeom>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014FA4F1">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规格：</w:t>
            </w:r>
            <w:r>
              <w:rPr>
                <w:rFonts w:hint="default"/>
                <w:color w:val="auto"/>
                <w:highlight w:val="none"/>
              </w:rPr>
              <w:t>465*520*760mm</w:t>
            </w:r>
          </w:p>
          <w:p w14:paraId="7E012386">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（1）材质：坐板、靠背板选用≥14mm厚多层板单板模压加工成弧型，面贴榉木纹防火板，靠背板双面贴，板边经过打磨抛光油环保聚脂漆。</w:t>
            </w:r>
          </w:p>
          <w:p w14:paraId="6294ADB0">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2）钢管直径为≥22×1.2mm圆钢管，椅脚安装内径22mm的塑胶脚套，确保椅子使用时推拉无声响，设计上符合人体工学原理，保障学生健康；制作结实牢固，表面光滑无毛刺，在座板底下（贴着座板）焊两条横向钢管支撑，椅脚前端需再焊一根横向钢管加固。 </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6A3D09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3006</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03E3CE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张</w:t>
            </w:r>
          </w:p>
        </w:tc>
      </w:tr>
      <w:tr w14:paraId="7EEDC4CF">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6D2F78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i w:val="0"/>
                <w:iCs w:val="0"/>
                <w:caps w:val="0"/>
                <w:color w:val="auto"/>
                <w:spacing w:val="0"/>
                <w:sz w:val="24"/>
                <w:szCs w:val="24"/>
                <w:highlight w:val="none"/>
                <w:shd w:val="clear" w:fill="FFFFFF"/>
                <w:lang w:val="en-US" w:eastAsia="zh-CN"/>
              </w:rPr>
            </w:pPr>
            <w:r>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t>8</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05A8B08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单人床</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0C7E2CDE">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asciiTheme="minorEastAsia" w:hAnsiTheme="minorEastAsia" w:eastAsiaTheme="minorEastAsia" w:cstheme="minorEastAsia"/>
                <w:color w:val="auto"/>
                <w:sz w:val="24"/>
                <w:szCs w:val="24"/>
                <w:highlight w:val="none"/>
                <w:lang w:eastAsia="zh-CN"/>
              </w:rPr>
              <w:drawing>
                <wp:inline distT="0" distB="0" distL="114300" distR="114300">
                  <wp:extent cx="790575" cy="561975"/>
                  <wp:effectExtent l="0" t="0" r="1905" b="190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5"/>
                          <a:stretch>
                            <a:fillRect/>
                          </a:stretch>
                        </pic:blipFill>
                        <pic:spPr>
                          <a:xfrm>
                            <a:off x="0" y="0"/>
                            <a:ext cx="790575" cy="561975"/>
                          </a:xfrm>
                          <a:prstGeom prst="rect">
                            <a:avLst/>
                          </a:prstGeom>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1904299B">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规格：1000*2000mm</w:t>
            </w:r>
          </w:p>
          <w:p w14:paraId="0D6397E9">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（1）贴面板材：采用三聚氰胺板,色泽明亮，美观,表面应无裂缝、开裂、起皱、鼓泡等现象。</w:t>
            </w:r>
          </w:p>
          <w:p w14:paraId="4FB77601">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（2）基材：床头板采用25mm；其余采用≥18mmE1级三聚氰胺中纤板 ；甲醛释放量≤0.124mg/m³,符合E1级环保标准，所有板材均经防虫防腐处理，表面握钉力及静曲强度均达到国家标准，木材含水率低于15%,符合各地标准；床侧与床屏连接方式采用挂钩连接，床挂钩必须有3个卡扣，长度不得小于125mm，厚度≥2.5mm，床挂钩分为公榫、母榫，母榫必须为一次冲压成型。</w:t>
            </w:r>
          </w:p>
          <w:p w14:paraId="7306579A">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（3）封边用材：采用≥1.2mm厚同色PVC全自动封边机热熔胶封边，封边牢固、不易脱胶。表面应光滑，花纹应清晰、均匀，光泽应均匀，无明显色差,背胶处理应均匀。</w:t>
            </w:r>
          </w:p>
          <w:p w14:paraId="39FB6CBD">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（4）床板采用≥15mm杉木，5-7片拼接而成，两面刨光拼接而成，经干燥、防腐、防蛀、刨光处理，板底加固4根40×30mm杉木条为支撑点，制作牢固可靠，双面平整。</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7D5ACC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16</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150773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张</w:t>
            </w:r>
          </w:p>
        </w:tc>
      </w:tr>
      <w:tr w14:paraId="79CA561F">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2596F4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i w:val="0"/>
                <w:iCs w:val="0"/>
                <w:caps w:val="0"/>
                <w:color w:val="auto"/>
                <w:spacing w:val="0"/>
                <w:sz w:val="24"/>
                <w:szCs w:val="24"/>
                <w:highlight w:val="none"/>
                <w:shd w:val="clear" w:fill="FFFFFF"/>
                <w:lang w:val="en-US" w:eastAsia="zh-CN"/>
              </w:rPr>
            </w:pPr>
            <w:r>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t>9</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4BAA8938">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书桌</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0C720AB1">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asciiTheme="minorEastAsia" w:hAnsiTheme="minorEastAsia" w:eastAsiaTheme="minorEastAsia" w:cstheme="minorEastAsia"/>
                <w:color w:val="auto"/>
                <w:sz w:val="24"/>
                <w:szCs w:val="24"/>
                <w:highlight w:val="none"/>
                <w:lang w:eastAsia="zh-CN"/>
              </w:rPr>
              <w:drawing>
                <wp:inline distT="0" distB="0" distL="114300" distR="114300">
                  <wp:extent cx="409575" cy="647700"/>
                  <wp:effectExtent l="0" t="0" r="1905" b="762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409575" cy="647700"/>
                          </a:xfrm>
                          <a:prstGeom prst="rect">
                            <a:avLst/>
                          </a:prstGeom>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7F1A433D">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规格：1000*600（240）*1800mm</w:t>
            </w:r>
          </w:p>
          <w:p w14:paraId="5F6AA650">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（1）桌面采用25mm，其余基材采用≥18mmE1级三聚氰胺中纤板，甲醛释放量≤0.124mg/m³,符合E1级环保标准，所有板材须经防虫防腐处理，木材含水率低于15%。</w:t>
            </w:r>
          </w:p>
          <w:p w14:paraId="6370BC7E">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（2）封边用材：采用≥1.2mm厚同色PVC全自动封边机热熔胶封边，封边牢固、不易脱胶。表面应光滑，花纹应清晰、均匀，光泽应均匀，无明显色差,背胶处理应均匀。</w:t>
            </w:r>
          </w:p>
          <w:p w14:paraId="6AB70B39">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（3）底部设计防水钢制脚架，钢木结合处平滑紧固，无明显缝隙，落地脚采用方管40*20*1.2mm，底部配防水脚垫，脚垫需与支撑脚架紧密连接，不易脱落。</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37D194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16</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6A5184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张</w:t>
            </w:r>
          </w:p>
        </w:tc>
      </w:tr>
      <w:tr w14:paraId="5C932593">
        <w:tblPrEx>
          <w:tblCellMar>
            <w:top w:w="0" w:type="dxa"/>
            <w:left w:w="108" w:type="dxa"/>
            <w:bottom w:w="0" w:type="dxa"/>
            <w:right w:w="108" w:type="dxa"/>
          </w:tblCellMar>
        </w:tblPrEx>
        <w:trPr>
          <w:trHeight w:val="591" w:hRule="atLeast"/>
        </w:trPr>
        <w:tc>
          <w:tcPr>
            <w:tcW w:w="760" w:type="dxa"/>
            <w:tcBorders>
              <w:top w:val="single" w:color="auto" w:sz="4" w:space="0"/>
              <w:left w:val="single" w:color="auto" w:sz="4" w:space="0"/>
              <w:bottom w:val="single" w:color="auto" w:sz="4" w:space="0"/>
              <w:right w:val="single" w:color="auto" w:sz="4" w:space="0"/>
            </w:tcBorders>
            <w:noWrap w:val="0"/>
            <w:vAlign w:val="center"/>
          </w:tcPr>
          <w:p w14:paraId="40B07F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pPr>
            <w:r>
              <w:rPr>
                <w:rFonts w:hint="eastAsia" w:asciiTheme="minorEastAsia" w:hAnsiTheme="minorEastAsia" w:eastAsiaTheme="minorEastAsia" w:cstheme="minorEastAsia"/>
                <w:i w:val="0"/>
                <w:iCs w:val="0"/>
                <w:caps w:val="0"/>
                <w:color w:val="auto"/>
                <w:spacing w:val="0"/>
                <w:sz w:val="24"/>
                <w:szCs w:val="24"/>
                <w:highlight w:val="none"/>
                <w:shd w:val="clear" w:fill="FFFFFF"/>
                <w:lang w:val="en-US" w:eastAsia="zh-CN"/>
              </w:rPr>
              <w:t>10</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5FF328F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储物柜</w:t>
            </w:r>
          </w:p>
        </w:tc>
        <w:tc>
          <w:tcPr>
            <w:tcW w:w="1634" w:type="dxa"/>
            <w:tcBorders>
              <w:top w:val="single" w:color="auto" w:sz="4" w:space="0"/>
              <w:left w:val="single" w:color="auto" w:sz="4" w:space="0"/>
              <w:bottom w:val="single" w:color="auto" w:sz="4" w:space="0"/>
              <w:right w:val="single" w:color="auto" w:sz="4" w:space="0"/>
            </w:tcBorders>
            <w:noWrap w:val="0"/>
            <w:vAlign w:val="center"/>
          </w:tcPr>
          <w:p w14:paraId="22699066">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default" w:asciiTheme="minorEastAsia" w:hAnsiTheme="minorEastAsia" w:eastAsiaTheme="minorEastAsia" w:cstheme="minorEastAsia"/>
                <w:color w:val="auto"/>
                <w:sz w:val="24"/>
                <w:szCs w:val="24"/>
                <w:highlight w:val="none"/>
                <w:lang w:eastAsia="zh-CN"/>
              </w:rPr>
            </w:pPr>
            <w:r>
              <w:rPr>
                <w:rFonts w:hint="default" w:asciiTheme="minorEastAsia" w:hAnsiTheme="minorEastAsia" w:eastAsiaTheme="minorEastAsia" w:cstheme="minorEastAsia"/>
                <w:color w:val="auto"/>
                <w:sz w:val="24"/>
                <w:szCs w:val="24"/>
                <w:highlight w:val="none"/>
                <w:lang w:eastAsia="zh-CN"/>
              </w:rPr>
              <w:drawing>
                <wp:inline distT="0" distB="0" distL="114300" distR="114300">
                  <wp:extent cx="542925" cy="990600"/>
                  <wp:effectExtent l="0" t="0" r="571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542925" cy="990600"/>
                          </a:xfrm>
                          <a:prstGeom prst="rect">
                            <a:avLst/>
                          </a:prstGeom>
                        </pic:spPr>
                      </pic:pic>
                    </a:graphicData>
                  </a:graphic>
                </wp:inline>
              </w:drawing>
            </w:r>
          </w:p>
        </w:tc>
        <w:tc>
          <w:tcPr>
            <w:tcW w:w="5933" w:type="dxa"/>
            <w:tcBorders>
              <w:top w:val="single" w:color="auto" w:sz="4" w:space="0"/>
              <w:left w:val="single" w:color="auto" w:sz="4" w:space="0"/>
              <w:bottom w:val="single" w:color="auto" w:sz="4" w:space="0"/>
              <w:right w:val="single" w:color="auto" w:sz="4" w:space="0"/>
            </w:tcBorders>
            <w:noWrap w:val="0"/>
            <w:vAlign w:val="center"/>
          </w:tcPr>
          <w:p w14:paraId="4B4582AE">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规格：800*600*2000mm</w:t>
            </w:r>
          </w:p>
          <w:p w14:paraId="4E07DF8B">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（1）贴面板材：采用三聚氰胺板,色泽明亮，美观,表面应无裂缝、开裂、起皱、鼓泡等现象。</w:t>
            </w:r>
          </w:p>
          <w:p w14:paraId="4E45B900">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（2）基材：采用≥18mmE1级三聚氰胺中纤板 ；背板采用9mm，甲醛释放量≤0.124mg/m³,符合E1级环保标准，所有板材须经防虫防腐处理，木材含水率低于15%。</w:t>
            </w:r>
          </w:p>
          <w:p w14:paraId="49C5D454">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0" w:firstLineChars="0"/>
              <w:textAlignment w:val="auto"/>
              <w:rPr>
                <w:rFonts w:hint="default"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（3）封边用材：采用≥1.2mm厚同色PVC全自动封边机热熔胶封边，封边牢固、不易脱胶。表面应光滑，花纹应清晰、均匀，光泽应均匀，无明显色差,背胶处理应均匀。柜子拉手采用一次成型，不使用五金配件。</w:t>
            </w:r>
          </w:p>
        </w:tc>
        <w:tc>
          <w:tcPr>
            <w:tcW w:w="797" w:type="dxa"/>
            <w:tcBorders>
              <w:top w:val="single" w:color="auto" w:sz="4" w:space="0"/>
              <w:left w:val="single" w:color="auto" w:sz="4" w:space="0"/>
              <w:bottom w:val="single" w:color="auto" w:sz="4" w:space="0"/>
              <w:right w:val="single" w:color="auto" w:sz="4" w:space="0"/>
            </w:tcBorders>
            <w:noWrap w:val="0"/>
            <w:vAlign w:val="center"/>
          </w:tcPr>
          <w:p w14:paraId="67FE2C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16</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2FB0D8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个</w:t>
            </w:r>
          </w:p>
        </w:tc>
      </w:tr>
    </w:tbl>
    <w:p w14:paraId="2DF0D130">
      <w:pPr>
        <w:spacing w:line="360" w:lineRule="auto"/>
        <w:ind w:firstLine="482" w:firstLineChars="200"/>
        <w:jc w:val="left"/>
        <w:rPr>
          <w:rFonts w:hint="eastAsia" w:ascii="宋体" w:hAnsi="宋体"/>
          <w:b/>
          <w:color w:val="auto"/>
          <w:sz w:val="24"/>
          <w:highlight w:val="none"/>
        </w:rPr>
      </w:pPr>
      <w:r>
        <w:rPr>
          <w:rFonts w:hint="eastAsia" w:ascii="宋体" w:hAnsi="宋体"/>
          <w:b/>
          <w:color w:val="auto"/>
          <w:sz w:val="24"/>
          <w:highlight w:val="none"/>
        </w:rPr>
        <w:t>注：</w:t>
      </w:r>
    </w:p>
    <w:p w14:paraId="5D36D559">
      <w:pPr>
        <w:spacing w:line="360" w:lineRule="auto"/>
        <w:ind w:firstLine="482" w:firstLineChars="200"/>
        <w:jc w:val="left"/>
        <w:rPr>
          <w:rFonts w:ascii="宋体" w:hAnsi="宋体" w:cs="宋体"/>
          <w:b/>
          <w:color w:val="auto"/>
          <w:sz w:val="24"/>
          <w:szCs w:val="24"/>
          <w:highlight w:val="none"/>
        </w:rPr>
      </w:pPr>
      <w:r>
        <w:rPr>
          <w:rFonts w:hint="eastAsia" w:ascii="宋体" w:hAnsi="宋体"/>
          <w:b/>
          <w:color w:val="auto"/>
          <w:sz w:val="24"/>
          <w:highlight w:val="none"/>
          <w:lang w:val="en-US" w:eastAsia="zh-CN"/>
        </w:rPr>
        <w:t>1.</w:t>
      </w:r>
      <w:r>
        <w:rPr>
          <w:rFonts w:hint="eastAsia" w:ascii="宋体" w:hAnsi="宋体"/>
          <w:b/>
          <w:color w:val="auto"/>
          <w:sz w:val="24"/>
          <w:highlight w:val="none"/>
        </w:rPr>
        <w:t>采购清单中所描述产品的规格尺寸，没有幅度要求的，允许正负偏离</w:t>
      </w:r>
      <w:r>
        <w:rPr>
          <w:rFonts w:hint="eastAsia" w:ascii="宋体" w:hAnsi="宋体"/>
          <w:b/>
          <w:color w:val="auto"/>
          <w:sz w:val="24"/>
          <w:highlight w:val="none"/>
          <w:lang w:val="en-US" w:eastAsia="zh-CN"/>
        </w:rPr>
        <w:t>3</w:t>
      </w:r>
      <w:r>
        <w:rPr>
          <w:rFonts w:hint="eastAsia" w:ascii="宋体" w:hAnsi="宋体"/>
          <w:b/>
          <w:color w:val="auto"/>
          <w:sz w:val="24"/>
          <w:highlight w:val="none"/>
        </w:rPr>
        <w:t>%以内。</w:t>
      </w:r>
    </w:p>
    <w:p w14:paraId="238B4F07">
      <w:pPr>
        <w:spacing w:line="360" w:lineRule="auto"/>
        <w:ind w:firstLine="482" w:firstLineChars="200"/>
        <w:jc w:val="left"/>
        <w:rPr>
          <w:rFonts w:hint="eastAsia" w:ascii="宋体" w:hAnsi="宋体"/>
          <w:b/>
          <w:color w:val="auto"/>
          <w:sz w:val="24"/>
          <w:highlight w:val="none"/>
        </w:rPr>
      </w:pPr>
      <w:r>
        <w:rPr>
          <w:rFonts w:hint="eastAsia" w:ascii="宋体" w:hAnsi="宋体"/>
          <w:b/>
          <w:color w:val="auto"/>
          <w:sz w:val="24"/>
          <w:highlight w:val="none"/>
        </w:rPr>
        <w:t>2.同一品牌认定标准：如果有多家投标人所报核心产品</w:t>
      </w:r>
      <w:bookmarkStart w:id="0" w:name="OLE_LINK35"/>
      <w:r>
        <w:rPr>
          <w:rFonts w:hint="eastAsia" w:ascii="宋体" w:hAnsi="宋体"/>
          <w:b/>
          <w:color w:val="auto"/>
          <w:sz w:val="24"/>
          <w:highlight w:val="none"/>
        </w:rPr>
        <w:t>（序号</w:t>
      </w:r>
      <w:r>
        <w:rPr>
          <w:rFonts w:hint="eastAsia" w:ascii="宋体" w:hAnsi="宋体"/>
          <w:b/>
          <w:color w:val="auto"/>
          <w:sz w:val="24"/>
          <w:highlight w:val="none"/>
          <w:lang w:val="en-US" w:eastAsia="zh-CN"/>
        </w:rPr>
        <w:t>1公寓组合铁床</w:t>
      </w:r>
      <w:r>
        <w:rPr>
          <w:rFonts w:hint="eastAsia" w:ascii="宋体" w:hAnsi="宋体"/>
          <w:b/>
          <w:color w:val="auto"/>
          <w:sz w:val="24"/>
          <w:highlight w:val="none"/>
        </w:rPr>
        <w:t>）</w:t>
      </w:r>
      <w:bookmarkEnd w:id="0"/>
      <w:r>
        <w:rPr>
          <w:rFonts w:hint="eastAsia" w:ascii="宋体" w:hAnsi="宋体"/>
          <w:b/>
          <w:color w:val="auto"/>
          <w:sz w:val="24"/>
          <w:highlight w:val="none"/>
        </w:rPr>
        <w:t>为同品牌，各合同包内无论其他品目号产品投标的品牌是否一样，均只能视为一家，此外其他情形均不认定为同品牌。</w:t>
      </w:r>
    </w:p>
    <w:p w14:paraId="5B5EE7E4">
      <w:pPr>
        <w:spacing w:line="360" w:lineRule="auto"/>
        <w:ind w:firstLine="482" w:firstLineChars="200"/>
        <w:jc w:val="left"/>
        <w:rPr>
          <w:rFonts w:hint="default" w:ascii="宋体" w:hAnsi="宋体" w:eastAsia="宋体"/>
          <w:b/>
          <w:color w:val="auto"/>
          <w:sz w:val="24"/>
          <w:highlight w:val="none"/>
          <w:lang w:val="en-US" w:eastAsia="zh-CN"/>
        </w:rPr>
      </w:pPr>
      <w:r>
        <w:rPr>
          <w:rFonts w:hint="eastAsia" w:ascii="宋体" w:hAnsi="宋体"/>
          <w:b/>
          <w:color w:val="auto"/>
          <w:sz w:val="24"/>
          <w:highlight w:val="none"/>
          <w:lang w:val="en-US" w:eastAsia="zh-CN"/>
        </w:rPr>
        <w:t>3.因本项目宿舍楼建筑尚未竣工，不排除墙体误差，故以上采购清单中铁床尺寸及数量均为预估数据，结算时以实际采购数量为准。</w:t>
      </w:r>
    </w:p>
    <w:p w14:paraId="46036A3E">
      <w:pPr>
        <w:spacing w:line="360" w:lineRule="auto"/>
        <w:jc w:val="left"/>
        <w:rPr>
          <w:rFonts w:ascii="宋体" w:hAnsi="宋体"/>
          <w:b/>
          <w:color w:val="auto"/>
          <w:sz w:val="24"/>
          <w:szCs w:val="24"/>
          <w:highlight w:val="none"/>
        </w:rPr>
      </w:pPr>
      <w:r>
        <w:rPr>
          <w:rFonts w:hint="eastAsia" w:ascii="宋体" w:hAnsi="宋体"/>
          <w:b/>
          <w:color w:val="auto"/>
          <w:sz w:val="24"/>
          <w:szCs w:val="24"/>
          <w:highlight w:val="none"/>
        </w:rPr>
        <w:t>二、采购要求</w:t>
      </w:r>
    </w:p>
    <w:p w14:paraId="7A9AD26D">
      <w:pPr>
        <w:spacing w:line="360" w:lineRule="auto"/>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1．中标供应商生产前提供具体图纸，必要时须依使用单位要求提供效果图，待使用单位确认后方可生产，价格不得调整。</w:t>
      </w:r>
    </w:p>
    <w:p w14:paraId="64D14F05">
      <w:pPr>
        <w:spacing w:line="360" w:lineRule="auto"/>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2．投标人应严格按照招标文件的规格、数量、技术及材质等要求进行报价。</w:t>
      </w:r>
    </w:p>
    <w:p w14:paraId="26F7B195">
      <w:pPr>
        <w:spacing w:line="360" w:lineRule="auto"/>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3．投标人应在投标文件中提供主要生产设备清单（需提供主要生产加工设备、产地、数量、价值）。</w:t>
      </w:r>
    </w:p>
    <w:p w14:paraId="3E5193E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4．投标人应在投标文件中提供质量管理、技术力量说明（主要生产技术骨干、质管人员的数量和职称）。</w:t>
      </w:r>
    </w:p>
    <w:p w14:paraId="3281DFA1">
      <w:pPr>
        <w:pStyle w:val="9"/>
        <w:spacing w:before="0" w:beforeAutospacing="0" w:after="0" w:afterAutospacing="0" w:line="360" w:lineRule="auto"/>
        <w:ind w:firstLine="480" w:firstLineChars="200"/>
        <w:rPr>
          <w:rFonts w:ascii="Times New Roman" w:hAnsi="Times New Roman"/>
          <w:color w:val="auto"/>
          <w:highlight w:val="none"/>
        </w:rPr>
      </w:pPr>
      <w:r>
        <w:rPr>
          <w:color w:val="auto"/>
          <w:highlight w:val="none"/>
        </w:rPr>
        <w:t>5</w:t>
      </w:r>
      <w:r>
        <w:rPr>
          <w:rFonts w:hint="eastAsia"/>
          <w:color w:val="auto"/>
          <w:highlight w:val="none"/>
        </w:rPr>
        <w:t>．投标人应根据国家标准</w:t>
      </w:r>
      <w:r>
        <w:rPr>
          <w:color w:val="auto"/>
          <w:highlight w:val="none"/>
        </w:rPr>
        <w:t>(</w:t>
      </w:r>
      <w:r>
        <w:rPr>
          <w:rFonts w:hint="eastAsia"/>
          <w:color w:val="auto"/>
          <w:highlight w:val="none"/>
        </w:rPr>
        <w:t>木家具通用技术条件、金属家具通用技术条件、木家具中有害物质限量、胶粘剂（溶剂型）中有害物质限量、人造板及其制品中甲醛释放限量、溶剂型木器涂料中有害物质限量、内墙涂料中有害物质限量、消费品使用说明（第</w:t>
      </w:r>
      <w:r>
        <w:rPr>
          <w:color w:val="auto"/>
          <w:highlight w:val="none"/>
        </w:rPr>
        <w:t xml:space="preserve">6 </w:t>
      </w:r>
      <w:r>
        <w:rPr>
          <w:rFonts w:hint="eastAsia"/>
          <w:color w:val="auto"/>
          <w:highlight w:val="none"/>
        </w:rPr>
        <w:t>部分家具）</w:t>
      </w:r>
      <w:r>
        <w:rPr>
          <w:color w:val="auto"/>
          <w:highlight w:val="none"/>
        </w:rPr>
        <w:t>)</w:t>
      </w:r>
      <w:r>
        <w:rPr>
          <w:rFonts w:hint="eastAsia"/>
          <w:color w:val="auto"/>
          <w:highlight w:val="none"/>
        </w:rPr>
        <w:t>、家用双层床安全第</w:t>
      </w:r>
      <w:r>
        <w:rPr>
          <w:color w:val="auto"/>
          <w:highlight w:val="none"/>
        </w:rPr>
        <w:t>1</w:t>
      </w:r>
      <w:r>
        <w:rPr>
          <w:rFonts w:hint="eastAsia"/>
          <w:color w:val="auto"/>
          <w:highlight w:val="none"/>
        </w:rPr>
        <w:t>部分：要求、部颁标准</w:t>
      </w:r>
      <w:r>
        <w:rPr>
          <w:color w:val="auto"/>
          <w:highlight w:val="none"/>
        </w:rPr>
        <w:t>(</w:t>
      </w:r>
      <w:r>
        <w:rPr>
          <w:rFonts w:hint="eastAsia"/>
          <w:color w:val="auto"/>
          <w:highlight w:val="none"/>
        </w:rPr>
        <w:t>木家具</w:t>
      </w:r>
      <w:r>
        <w:rPr>
          <w:color w:val="auto"/>
          <w:highlight w:val="none"/>
        </w:rPr>
        <w:t xml:space="preserve"> </w:t>
      </w:r>
      <w:r>
        <w:rPr>
          <w:rFonts w:hint="eastAsia"/>
          <w:color w:val="auto"/>
          <w:highlight w:val="none"/>
        </w:rPr>
        <w:t>质量检验及质量评定、金属家具</w:t>
      </w:r>
      <w:r>
        <w:rPr>
          <w:color w:val="auto"/>
          <w:highlight w:val="none"/>
        </w:rPr>
        <w:t xml:space="preserve"> </w:t>
      </w:r>
      <w:r>
        <w:rPr>
          <w:rFonts w:hint="eastAsia"/>
          <w:color w:val="auto"/>
          <w:highlight w:val="none"/>
        </w:rPr>
        <w:t>质量检验及质量评定、软体家具沙发、木制柜）、人造木质板材执行标准、家具执行标准、水性涂料执行标准、胶粘剂执行标准、其他国家及行业标准制作（上述标准若有更新，则以更新后的国家和部门标准执行），并在设计方案中详细说明家具的材料构成及辅材、配件</w:t>
      </w:r>
      <w:r>
        <w:rPr>
          <w:color w:val="auto"/>
          <w:highlight w:val="none"/>
        </w:rPr>
        <w:t>(</w:t>
      </w:r>
      <w:r>
        <w:rPr>
          <w:rFonts w:hint="eastAsia"/>
          <w:color w:val="auto"/>
          <w:highlight w:val="none"/>
        </w:rPr>
        <w:t>如材质、质量标准、厚度、产地、品牌、型号等</w:t>
      </w:r>
      <w:r>
        <w:rPr>
          <w:color w:val="auto"/>
          <w:highlight w:val="none"/>
        </w:rPr>
        <w:t>)</w:t>
      </w:r>
      <w:r>
        <w:rPr>
          <w:rFonts w:hint="eastAsia"/>
          <w:color w:val="auto"/>
          <w:highlight w:val="none"/>
        </w:rPr>
        <w:t>。</w:t>
      </w:r>
    </w:p>
    <w:p w14:paraId="6A86F15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6．投标人需在投标文件中提供上述货物的实物图、效果图、生产分解图、货物选用材料的说明文件。</w:t>
      </w:r>
    </w:p>
    <w:p w14:paraId="11BFD49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7．投标人需将以上货物的参考指标与所投货物的技术指标、参数，在投标文件中分别列出，一一对应。</w:t>
      </w:r>
    </w:p>
    <w:p w14:paraId="3051F042">
      <w:pPr>
        <w:spacing w:line="360" w:lineRule="auto"/>
        <w:ind w:firstLine="482" w:firstLineChars="200"/>
        <w:rPr>
          <w:rFonts w:ascii="宋体" w:hAnsi="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8.招标文件评审内容中涉及提供检测报告</w:t>
      </w:r>
      <w:r>
        <w:rPr>
          <w:rFonts w:hint="eastAsia" w:ascii="宋体" w:hAnsi="宋体"/>
          <w:b/>
          <w:color w:val="auto"/>
          <w:sz w:val="24"/>
          <w:szCs w:val="24"/>
          <w:highlight w:val="none"/>
          <w:lang w:val="en-US" w:eastAsia="zh-CN"/>
        </w:rPr>
        <w:t>或发票或合同</w:t>
      </w:r>
      <w:r>
        <w:rPr>
          <w:rFonts w:hint="eastAsia" w:ascii="宋体" w:hAnsi="宋体"/>
          <w:b/>
          <w:color w:val="auto"/>
          <w:sz w:val="24"/>
          <w:szCs w:val="24"/>
          <w:highlight w:val="none"/>
        </w:rPr>
        <w:t>复印件的，中标后，使用单位将要求中标供应商提供</w:t>
      </w:r>
      <w:r>
        <w:rPr>
          <w:rFonts w:hint="eastAsia" w:ascii="宋体" w:hAnsi="宋体"/>
          <w:b/>
          <w:color w:val="auto"/>
          <w:sz w:val="24"/>
          <w:szCs w:val="24"/>
          <w:highlight w:val="none"/>
          <w:lang w:val="en-US" w:eastAsia="zh-CN"/>
        </w:rPr>
        <w:t>上述材料</w:t>
      </w:r>
      <w:r>
        <w:rPr>
          <w:rFonts w:hint="eastAsia" w:ascii="宋体" w:hAnsi="宋体"/>
          <w:b/>
          <w:color w:val="auto"/>
          <w:sz w:val="24"/>
          <w:szCs w:val="24"/>
          <w:highlight w:val="none"/>
        </w:rPr>
        <w:t>原件予以核对，中标供应商应在3日内提供</w:t>
      </w:r>
      <w:r>
        <w:rPr>
          <w:rFonts w:hint="eastAsia" w:ascii="宋体" w:hAnsi="宋体"/>
          <w:b/>
          <w:color w:val="auto"/>
          <w:sz w:val="24"/>
          <w:szCs w:val="24"/>
          <w:highlight w:val="none"/>
          <w:lang w:val="en-US" w:eastAsia="zh-CN"/>
        </w:rPr>
        <w:t>上述材料</w:t>
      </w:r>
      <w:r>
        <w:rPr>
          <w:rFonts w:hint="eastAsia" w:ascii="宋体" w:hAnsi="宋体"/>
          <w:b/>
          <w:color w:val="auto"/>
          <w:sz w:val="24"/>
          <w:szCs w:val="24"/>
          <w:highlight w:val="none"/>
        </w:rPr>
        <w:t>原件</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检测报告须提供查询网址或真伪查询二维码</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。如中标供应商无法提供</w:t>
      </w:r>
      <w:r>
        <w:rPr>
          <w:rFonts w:hint="eastAsia" w:ascii="宋体" w:hAnsi="宋体"/>
          <w:b/>
          <w:color w:val="auto"/>
          <w:sz w:val="24"/>
          <w:szCs w:val="24"/>
          <w:highlight w:val="none"/>
          <w:lang w:val="en-US" w:eastAsia="zh-CN"/>
        </w:rPr>
        <w:t>上述材料</w:t>
      </w:r>
      <w:r>
        <w:rPr>
          <w:rFonts w:hint="eastAsia" w:ascii="宋体" w:hAnsi="宋体"/>
          <w:b/>
          <w:color w:val="auto"/>
          <w:sz w:val="24"/>
          <w:szCs w:val="24"/>
          <w:highlight w:val="none"/>
        </w:rPr>
        <w:t>原件，或者发现中标供应商提供的</w:t>
      </w:r>
      <w:r>
        <w:rPr>
          <w:rFonts w:hint="eastAsia" w:ascii="宋体" w:hAnsi="宋体"/>
          <w:b/>
          <w:color w:val="auto"/>
          <w:sz w:val="24"/>
          <w:szCs w:val="24"/>
          <w:highlight w:val="none"/>
          <w:lang w:val="en-US" w:eastAsia="zh-CN"/>
        </w:rPr>
        <w:t>上述材料</w:t>
      </w:r>
      <w:r>
        <w:rPr>
          <w:rFonts w:hint="eastAsia" w:ascii="宋体" w:hAnsi="宋体"/>
          <w:b/>
          <w:color w:val="auto"/>
          <w:sz w:val="24"/>
          <w:szCs w:val="24"/>
          <w:highlight w:val="none"/>
        </w:rPr>
        <w:t>原件与复印件不一致，或者经查询发现检测报告存在造假情形的，使用单位将向采购监管部门提请监督检查，取消中标供应商资格并列入不良行为记录。（投标人须在投标文件中响应满足上述条款要求，否则作无效投标处理）</w:t>
      </w:r>
    </w:p>
    <w:p w14:paraId="1C5C5F75">
      <w:pPr>
        <w:spacing w:line="360" w:lineRule="auto"/>
        <w:ind w:firstLine="482" w:firstLineChars="200"/>
        <w:rPr>
          <w:rFonts w:ascii="宋体" w:hAnsi="宋体" w:cs="宋体"/>
          <w:b/>
          <w:color w:val="auto"/>
          <w:sz w:val="24"/>
          <w:szCs w:val="24"/>
          <w:highlight w:val="none"/>
        </w:rPr>
      </w:pPr>
      <w:r>
        <w:rPr>
          <w:rFonts w:hint="eastAsia" w:ascii="宋体" w:hAnsi="宋体" w:cs="宋体"/>
          <w:b/>
          <w:bCs/>
          <w:color w:val="auto"/>
          <w:sz w:val="24"/>
          <w:szCs w:val="24"/>
          <w:highlight w:val="none"/>
        </w:rPr>
        <w:t>★9.样品：未提供样品（不接受3D打印小样）或提供的样品不全、不满足</w:t>
      </w:r>
      <w:r>
        <w:rPr>
          <w:rFonts w:hint="eastAsia" w:ascii="宋体" w:hAnsi="宋体" w:cs="宋体"/>
          <w:b/>
          <w:bCs/>
          <w:color w:val="auto"/>
          <w:sz w:val="24"/>
          <w:szCs w:val="24"/>
          <w:highlight w:val="none"/>
          <w:lang w:val="en-US" w:eastAsia="zh-CN"/>
        </w:rPr>
        <w:t>下述</w:t>
      </w:r>
      <w:r>
        <w:rPr>
          <w:rFonts w:hint="eastAsia" w:ascii="宋体" w:hAnsi="宋体" w:cs="宋体"/>
          <w:b/>
          <w:bCs/>
          <w:color w:val="auto"/>
          <w:sz w:val="24"/>
          <w:szCs w:val="24"/>
          <w:highlight w:val="none"/>
        </w:rPr>
        <w:t>技术参数（未标明±偏离值的尺寸，允许±3%）要求的将视为无效投标：</w:t>
      </w:r>
    </w:p>
    <w:p w14:paraId="718AA156">
      <w:pPr>
        <w:keepNext w:val="0"/>
        <w:keepLines w:val="0"/>
        <w:pageBreakBefore w:val="0"/>
        <w:widowControl/>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lang w:eastAsia="zh-CN"/>
        </w:rPr>
      </w:pPr>
      <w:bookmarkStart w:id="1" w:name="OLE_LINK40"/>
      <w:bookmarkStart w:id="2" w:name="OLE_LINK39"/>
      <w:bookmarkStart w:id="3" w:name="OLE_LINK37"/>
      <w:bookmarkStart w:id="4" w:name="OLE_LINK36"/>
      <w:r>
        <w:rPr>
          <w:rFonts w:hint="eastAsia" w:ascii="宋体" w:hAnsi="宋体" w:cs="宋体"/>
          <w:b/>
          <w:bCs/>
          <w:color w:val="auto"/>
          <w:sz w:val="24"/>
          <w:szCs w:val="24"/>
          <w:highlight w:val="none"/>
          <w:lang w:val="en-US" w:eastAsia="zh-CN"/>
        </w:rPr>
        <w:t>9.1</w:t>
      </w:r>
      <w:bookmarkEnd w:id="1"/>
      <w:bookmarkEnd w:id="2"/>
      <w:bookmarkEnd w:id="3"/>
      <w:bookmarkEnd w:id="4"/>
      <w:r>
        <w:rPr>
          <w:rFonts w:hint="eastAsia" w:ascii="宋体" w:hAnsi="宋体" w:cs="宋体"/>
          <w:b/>
          <w:bCs/>
          <w:color w:val="auto"/>
          <w:sz w:val="24"/>
          <w:szCs w:val="24"/>
          <w:highlight w:val="none"/>
        </w:rPr>
        <w:t>序号1：</w:t>
      </w:r>
      <w:r>
        <w:rPr>
          <w:rFonts w:hint="eastAsia" w:ascii="宋体" w:hAnsi="宋体" w:eastAsia="宋体" w:cs="宋体"/>
          <w:b/>
          <w:bCs/>
          <w:color w:val="auto"/>
          <w:sz w:val="24"/>
          <w:szCs w:val="24"/>
          <w:highlight w:val="none"/>
        </w:rPr>
        <w:t>床立柱小样</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喷漆和未喷漆各1</w:t>
      </w:r>
      <w:r>
        <w:rPr>
          <w:rFonts w:hint="eastAsia" w:ascii="宋体" w:hAnsi="宋体" w:eastAsia="宋体" w:cs="宋体"/>
          <w:b/>
          <w:bCs/>
          <w:color w:val="auto"/>
          <w:sz w:val="24"/>
          <w:szCs w:val="24"/>
          <w:highlight w:val="none"/>
          <w:lang w:eastAsia="zh-CN"/>
        </w:rPr>
        <w:t>根</w:t>
      </w:r>
      <w:r>
        <w:rPr>
          <w:rFonts w:hint="eastAsia" w:ascii="宋体" w:hAnsi="宋体" w:eastAsia="宋体" w:cs="宋体"/>
          <w:b/>
          <w:bCs/>
          <w:color w:val="auto"/>
          <w:sz w:val="24"/>
          <w:szCs w:val="24"/>
          <w:highlight w:val="none"/>
        </w:rPr>
        <w:t>）长约300mm：环形密闭冷轧钢管，厚度</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1.</w:t>
      </w: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mm，外径</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72mm，横面40mm,弧形面有三条内凹加强筋</w:t>
      </w:r>
      <w:r>
        <w:rPr>
          <w:rFonts w:hint="eastAsia" w:ascii="宋体" w:hAnsi="宋体" w:eastAsia="宋体" w:cs="宋体"/>
          <w:b/>
          <w:bCs/>
          <w:color w:val="auto"/>
          <w:sz w:val="24"/>
          <w:szCs w:val="24"/>
          <w:highlight w:val="none"/>
          <w:lang w:eastAsia="zh-CN"/>
        </w:rPr>
        <w:t>。</w:t>
      </w:r>
    </w:p>
    <w:p w14:paraId="5F992BFB">
      <w:pPr>
        <w:pStyle w:val="10"/>
        <w:keepNext w:val="0"/>
        <w:keepLines w:val="0"/>
        <w:pageBreakBefore w:val="0"/>
        <w:widowControl w:val="0"/>
        <w:kinsoku/>
        <w:wordWrap/>
        <w:overflowPunct/>
        <w:topLinePunct w:val="0"/>
        <w:bidi w:val="0"/>
        <w:snapToGrid w:val="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drawing>
          <wp:inline distT="0" distB="0" distL="114300" distR="114300">
            <wp:extent cx="3522345" cy="2520950"/>
            <wp:effectExtent l="0" t="0" r="13335" b="889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5"/>
                    <a:stretch>
                      <a:fillRect/>
                    </a:stretch>
                  </pic:blipFill>
                  <pic:spPr>
                    <a:xfrm>
                      <a:off x="0" y="0"/>
                      <a:ext cx="3522345" cy="2520950"/>
                    </a:xfrm>
                    <a:prstGeom prst="rect">
                      <a:avLst/>
                    </a:prstGeom>
                    <a:noFill/>
                    <a:ln>
                      <a:noFill/>
                    </a:ln>
                  </pic:spPr>
                </pic:pic>
              </a:graphicData>
            </a:graphic>
          </wp:inline>
        </w:drawing>
      </w:r>
    </w:p>
    <w:p w14:paraId="06344872">
      <w:pPr>
        <w:pStyle w:val="10"/>
        <w:keepNext w:val="0"/>
        <w:keepLines w:val="0"/>
        <w:pageBreakBefore w:val="0"/>
        <w:widowControl w:val="0"/>
        <w:kinsoku/>
        <w:wordWrap/>
        <w:overflowPunct/>
        <w:topLinePunct w:val="0"/>
        <w:bidi w:val="0"/>
        <w:snapToGrid w:val="0"/>
        <w:textAlignment w:val="auto"/>
        <w:rPr>
          <w:rFonts w:hint="eastAsia" w:ascii="宋体" w:hAnsi="宋体" w:eastAsia="宋体" w:cs="宋体"/>
          <w:color w:val="auto"/>
          <w:sz w:val="24"/>
          <w:szCs w:val="24"/>
          <w:highlight w:val="none"/>
          <w:lang w:eastAsia="zh-CN"/>
        </w:rPr>
      </w:pPr>
    </w:p>
    <w:p w14:paraId="6093AD79">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9.2</w:t>
      </w:r>
      <w:r>
        <w:rPr>
          <w:rFonts w:hint="eastAsia" w:ascii="宋体" w:hAnsi="宋体" w:cs="宋体"/>
          <w:b/>
          <w:bCs/>
          <w:color w:val="auto"/>
          <w:sz w:val="24"/>
          <w:szCs w:val="24"/>
          <w:highlight w:val="none"/>
        </w:rPr>
        <w:t>序号</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普通床</w:t>
      </w:r>
      <w:r>
        <w:rPr>
          <w:rFonts w:hint="eastAsia" w:ascii="宋体" w:hAnsi="宋体" w:eastAsia="宋体" w:cs="宋体"/>
          <w:b/>
          <w:bCs/>
          <w:color w:val="auto"/>
          <w:sz w:val="24"/>
          <w:szCs w:val="24"/>
          <w:highlight w:val="none"/>
        </w:rPr>
        <w:t>床卡扣(未喷漆1个)：床卡扣≥31mm×26mm×205mm×3.0mm，卡齿≥3个，卡齿外径≥12mm；整体卡扣隐藏式,表面平整光滑，无冲压孔，安装后挂齿不外露；卡齿不采用焊接，通过冲压铆压成型，确保牢固。</w:t>
      </w:r>
    </w:p>
    <w:p w14:paraId="2C6E2300">
      <w:pPr>
        <w:spacing w:line="360" w:lineRule="auto"/>
        <w:ind w:firstLine="420" w:firstLineChars="200"/>
        <w:rPr>
          <w:rFonts w:hint="eastAsia" w:ascii="仿宋" w:hAnsi="仿宋" w:eastAsia="仿宋" w:cs="Times New Roman"/>
          <w:color w:val="auto"/>
          <w:szCs w:val="28"/>
          <w:highlight w:val="none"/>
        </w:rPr>
      </w:pPr>
      <w:r>
        <w:rPr>
          <w:rFonts w:hint="eastAsia" w:ascii="仿宋" w:hAnsi="仿宋" w:eastAsia="仿宋" w:cs="Times New Roman"/>
          <w:color w:val="auto"/>
          <w:szCs w:val="28"/>
          <w:highlight w:val="none"/>
        </w:rPr>
        <w:drawing>
          <wp:inline distT="0" distB="0" distL="114300" distR="114300">
            <wp:extent cx="1699260" cy="2028190"/>
            <wp:effectExtent l="0" t="0" r="7620" b="13970"/>
            <wp:docPr id="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
                    <pic:cNvPicPr>
                      <a:picLocks noChangeAspect="1"/>
                    </pic:cNvPicPr>
                  </pic:nvPicPr>
                  <pic:blipFill>
                    <a:blip r:embed="rId16"/>
                    <a:srcRect r="56604"/>
                    <a:stretch>
                      <a:fillRect/>
                    </a:stretch>
                  </pic:blipFill>
                  <pic:spPr>
                    <a:xfrm>
                      <a:off x="0" y="0"/>
                      <a:ext cx="1699260" cy="2028190"/>
                    </a:xfrm>
                    <a:prstGeom prst="rect">
                      <a:avLst/>
                    </a:prstGeom>
                    <a:noFill/>
                    <a:ln>
                      <a:noFill/>
                    </a:ln>
                  </pic:spPr>
                </pic:pic>
              </a:graphicData>
            </a:graphic>
          </wp:inline>
        </w:drawing>
      </w:r>
      <w:r>
        <w:rPr>
          <w:color w:val="auto"/>
          <w:highlight w:val="none"/>
        </w:rPr>
        <w:drawing>
          <wp:inline distT="0" distB="0" distL="114300" distR="114300">
            <wp:extent cx="1793875" cy="1616075"/>
            <wp:effectExtent l="0" t="0" r="4445" b="1460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7"/>
                    <a:stretch>
                      <a:fillRect/>
                    </a:stretch>
                  </pic:blipFill>
                  <pic:spPr>
                    <a:xfrm>
                      <a:off x="0" y="0"/>
                      <a:ext cx="1793875" cy="1616075"/>
                    </a:xfrm>
                    <a:prstGeom prst="rect">
                      <a:avLst/>
                    </a:prstGeom>
                    <a:noFill/>
                    <a:ln>
                      <a:noFill/>
                    </a:ln>
                  </pic:spPr>
                </pic:pic>
              </a:graphicData>
            </a:graphic>
          </wp:inline>
        </w:drawing>
      </w:r>
    </w:p>
    <w:p w14:paraId="127765FF">
      <w:pPr>
        <w:bidi w:val="0"/>
        <w:jc w:val="left"/>
        <w:rPr>
          <w:rFonts w:hint="eastAsia" w:ascii="宋体" w:hAnsi="宋体" w:cs="宋体"/>
          <w:color w:val="auto"/>
          <w:sz w:val="24"/>
          <w:szCs w:val="24"/>
          <w:highlight w:val="none"/>
        </w:rPr>
      </w:pPr>
    </w:p>
    <w:p w14:paraId="029820A0">
      <w:pPr>
        <w:keepNext w:val="0"/>
        <w:keepLines w:val="0"/>
        <w:widowControl/>
        <w:suppressLineNumbers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sz w:val="24"/>
          <w:szCs w:val="24"/>
          <w:highlight w:val="none"/>
          <w:lang w:val="en-US" w:eastAsia="zh-CN"/>
        </w:rPr>
        <w:t>9.3</w:t>
      </w:r>
      <w:r>
        <w:rPr>
          <w:rFonts w:hint="eastAsia" w:ascii="宋体" w:hAnsi="宋体" w:cs="宋体"/>
          <w:b/>
          <w:bCs/>
          <w:color w:val="auto"/>
          <w:sz w:val="24"/>
          <w:szCs w:val="24"/>
          <w:highlight w:val="none"/>
        </w:rPr>
        <w:t>序号</w:t>
      </w:r>
      <w:r>
        <w:rPr>
          <w:rFonts w:hint="eastAsia" w:ascii="宋体" w:hAnsi="宋体" w:cs="宋体"/>
          <w:b/>
          <w:bCs/>
          <w:color w:val="auto"/>
          <w:sz w:val="24"/>
          <w:szCs w:val="24"/>
          <w:highlight w:val="none"/>
          <w:lang w:val="en-US" w:eastAsia="zh-CN"/>
        </w:rPr>
        <w:t>3</w:t>
      </w:r>
      <w:r>
        <w:rPr>
          <w:rFonts w:hint="eastAsia" w:ascii="宋体" w:hAnsi="宋体" w:cs="宋体"/>
          <w:b/>
          <w:bCs/>
          <w:color w:val="auto"/>
          <w:sz w:val="24"/>
          <w:szCs w:val="24"/>
          <w:highlight w:val="none"/>
        </w:rPr>
        <w:t>：</w:t>
      </w:r>
      <w:r>
        <w:rPr>
          <w:rFonts w:hint="eastAsia" w:ascii="宋体" w:hAnsi="宋体" w:cs="宋体"/>
          <w:b/>
          <w:bCs/>
          <w:color w:val="auto"/>
          <w:kern w:val="0"/>
          <w:sz w:val="24"/>
          <w:szCs w:val="24"/>
          <w:highlight w:val="none"/>
        </w:rPr>
        <w:t>爬梯踏板1个：床梯踏板350*130*18mm，钢板厚≥1.5mm(防滑条纹)，踏板整体一次成型</w:t>
      </w:r>
      <w:r>
        <w:rPr>
          <w:rFonts w:hint="eastAsia" w:ascii="宋体" w:hAnsi="宋体" w:eastAsia="宋体" w:cs="宋体"/>
          <w:b/>
          <w:bCs/>
          <w:color w:val="auto"/>
          <w:kern w:val="0"/>
          <w:sz w:val="24"/>
          <w:szCs w:val="24"/>
          <w:highlight w:val="none"/>
          <w:lang w:val="en-US" w:eastAsia="zh-CN" w:bidi="ar-SA"/>
        </w:rPr>
        <w:t xml:space="preserve">。 </w:t>
      </w:r>
    </w:p>
    <w:p w14:paraId="1843104A">
      <w:pPr>
        <w:widowControl/>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sz w:val="24"/>
          <w:szCs w:val="24"/>
          <w:highlight w:val="none"/>
          <w:lang w:val="en-US" w:eastAsia="zh-CN"/>
        </w:rPr>
        <w:t>9.4</w:t>
      </w:r>
      <w:r>
        <w:rPr>
          <w:rFonts w:hint="eastAsia" w:ascii="宋体" w:hAnsi="宋体" w:cs="宋体"/>
          <w:b/>
          <w:bCs/>
          <w:color w:val="auto"/>
          <w:sz w:val="24"/>
          <w:szCs w:val="24"/>
          <w:highlight w:val="none"/>
        </w:rPr>
        <w:t>序号</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w:t>
      </w:r>
      <w:r>
        <w:rPr>
          <w:rFonts w:hint="eastAsia" w:ascii="宋体" w:hAnsi="宋体" w:eastAsia="宋体" w:cs="宋体"/>
          <w:b/>
          <w:bCs/>
          <w:color w:val="auto"/>
          <w:kern w:val="0"/>
          <w:sz w:val="24"/>
          <w:szCs w:val="24"/>
          <w:highlight w:val="none"/>
          <w:lang w:eastAsia="zh-CN"/>
        </w:rPr>
        <w:t>组合家具柜门的</w:t>
      </w:r>
      <w:r>
        <w:rPr>
          <w:rFonts w:hint="eastAsia" w:ascii="宋体" w:hAnsi="宋体" w:eastAsia="宋体" w:cs="宋体"/>
          <w:b/>
          <w:bCs/>
          <w:color w:val="auto"/>
          <w:kern w:val="0"/>
          <w:sz w:val="24"/>
          <w:szCs w:val="24"/>
          <w:highlight w:val="none"/>
        </w:rPr>
        <w:t>合页1个，合页采用隐藏式，不凸出板面，门板正面无开槽，可180打开，合页总长95mm，宽46mm</w:t>
      </w:r>
      <w:r>
        <w:rPr>
          <w:rFonts w:hint="eastAsia" w:ascii="宋体" w:hAnsi="宋体" w:cs="宋体"/>
          <w:b/>
          <w:bCs/>
          <w:color w:val="auto"/>
          <w:kern w:val="0"/>
          <w:sz w:val="24"/>
          <w:szCs w:val="24"/>
          <w:highlight w:val="none"/>
          <w:lang w:eastAsia="zh-CN"/>
        </w:rPr>
        <w:t>。</w:t>
      </w:r>
    </w:p>
    <w:p w14:paraId="6130779B">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9.5</w:t>
      </w:r>
      <w:r>
        <w:rPr>
          <w:rFonts w:hint="eastAsia" w:ascii="宋体" w:hAnsi="宋体" w:cs="宋体"/>
          <w:b/>
          <w:bCs/>
          <w:color w:val="auto"/>
          <w:sz w:val="24"/>
          <w:szCs w:val="24"/>
          <w:highlight w:val="none"/>
        </w:rPr>
        <w:t>序号</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：床长横梁小样(未喷漆1根)长约600mm：70×30mm方管，带一次性冲压卡槽，插放卡片规格</w:t>
      </w:r>
      <w:r>
        <w:rPr>
          <w:rFonts w:hint="eastAsia" w:ascii="宋体" w:hAnsi="宋体" w:cs="宋体"/>
          <w:b/>
          <w:bCs/>
          <w:color w:val="auto"/>
          <w:sz w:val="24"/>
          <w:szCs w:val="24"/>
          <w:highlight w:val="none"/>
          <w:lang w:val="en-US" w:eastAsia="zh-CN"/>
        </w:rPr>
        <w:t>大于等于</w:t>
      </w:r>
      <w:r>
        <w:rPr>
          <w:rFonts w:hint="eastAsia" w:ascii="宋体" w:hAnsi="宋体" w:cs="宋体"/>
          <w:b/>
          <w:bCs/>
          <w:color w:val="auto"/>
          <w:sz w:val="24"/>
          <w:szCs w:val="24"/>
          <w:highlight w:val="none"/>
        </w:rPr>
        <w:t>90×40mm。</w:t>
      </w:r>
    </w:p>
    <w:p w14:paraId="75CD2571">
      <w:pPr>
        <w:spacing w:line="360" w:lineRule="auto"/>
        <w:ind w:firstLine="480" w:firstLineChars="200"/>
        <w:rPr>
          <w:rFonts w:ascii="宋体" w:hAnsi="宋体" w:cs="宋体"/>
          <w:color w:val="auto"/>
          <w:kern w:val="0"/>
          <w:sz w:val="24"/>
          <w:szCs w:val="24"/>
          <w:highlight w:val="none"/>
        </w:rPr>
      </w:pPr>
      <w:r>
        <w:rPr>
          <w:rFonts w:hint="eastAsia" w:ascii="宋体" w:hAnsi="宋体" w:cs="宋体"/>
          <w:bCs/>
          <w:color w:val="auto"/>
          <w:kern w:val="0"/>
          <w:sz w:val="24"/>
          <w:szCs w:val="24"/>
          <w:highlight w:val="none"/>
        </w:rPr>
        <w:t>10.投标人提供的样品款式及尺寸应与招标清单中采购要求中的图片一致。</w:t>
      </w:r>
    </w:p>
    <w:p w14:paraId="08D1EF71">
      <w:pPr>
        <w:widowControl/>
        <w:spacing w:line="360" w:lineRule="auto"/>
        <w:ind w:firstLine="482" w:firstLineChars="200"/>
        <w:jc w:val="left"/>
        <w:rPr>
          <w:rFonts w:hint="eastAsia" w:ascii="宋体" w:hAnsi="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w:t>
      </w:r>
      <w:r>
        <w:rPr>
          <w:rFonts w:hint="eastAsia" w:ascii="宋体" w:hAnsi="宋体"/>
          <w:b/>
          <w:color w:val="auto"/>
          <w:sz w:val="24"/>
          <w:szCs w:val="24"/>
          <w:highlight w:val="none"/>
        </w:rPr>
        <w:t>送至</w:t>
      </w:r>
      <w:r>
        <w:rPr>
          <w:rFonts w:hint="eastAsia" w:ascii="宋体" w:hAnsi="宋体"/>
          <w:b/>
          <w:color w:val="auto"/>
          <w:sz w:val="24"/>
          <w:highlight w:val="none"/>
          <w:u w:val="single"/>
        </w:rPr>
        <w:t>厦门市湖里区云顶北路842号厦门市政务服务中心负一楼样品间（接收人：卢</w:t>
      </w:r>
      <w:r>
        <w:rPr>
          <w:rFonts w:hint="eastAsia" w:ascii="宋体" w:hAnsi="宋体"/>
          <w:b/>
          <w:color w:val="auto"/>
          <w:sz w:val="24"/>
          <w:highlight w:val="none"/>
          <w:u w:val="single"/>
          <w:lang w:val="en-US" w:eastAsia="zh-CN"/>
        </w:rPr>
        <w:t>小姐</w:t>
      </w:r>
      <w:r>
        <w:rPr>
          <w:rFonts w:hint="eastAsia" w:ascii="宋体" w:hAnsi="宋体"/>
          <w:b/>
          <w:color w:val="auto"/>
          <w:sz w:val="24"/>
          <w:highlight w:val="none"/>
          <w:u w:val="single"/>
        </w:rPr>
        <w:t>、熊</w:t>
      </w:r>
      <w:r>
        <w:rPr>
          <w:rFonts w:hint="eastAsia" w:ascii="宋体" w:hAnsi="宋体"/>
          <w:b/>
          <w:color w:val="auto"/>
          <w:sz w:val="24"/>
          <w:highlight w:val="none"/>
          <w:u w:val="single"/>
          <w:lang w:val="en-US" w:eastAsia="zh-CN"/>
        </w:rPr>
        <w:t>小姐，</w:t>
      </w:r>
      <w:r>
        <w:rPr>
          <w:rFonts w:hint="eastAsia" w:ascii="宋体" w:hAnsi="宋体"/>
          <w:b/>
          <w:color w:val="auto"/>
          <w:sz w:val="24"/>
          <w:highlight w:val="none"/>
          <w:u w:val="single"/>
        </w:rPr>
        <w:t>0592-5701518、5769394）</w:t>
      </w:r>
      <w:r>
        <w:rPr>
          <w:rFonts w:hint="eastAsia" w:ascii="宋体" w:hAnsi="宋体"/>
          <w:b/>
          <w:color w:val="auto"/>
          <w:sz w:val="24"/>
          <w:szCs w:val="24"/>
          <w:highlight w:val="none"/>
        </w:rPr>
        <w:t>。</w:t>
      </w:r>
    </w:p>
    <w:p w14:paraId="51086E56">
      <w:pPr>
        <w:tabs>
          <w:tab w:val="left" w:pos="630"/>
        </w:tabs>
        <w:spacing w:line="360" w:lineRule="auto"/>
        <w:ind w:firstLine="480" w:firstLineChars="200"/>
        <w:rPr>
          <w:rFonts w:hint="eastAsia" w:ascii="宋体" w:hAnsi="宋体"/>
          <w:b/>
          <w:color w:val="auto"/>
          <w:sz w:val="24"/>
          <w:szCs w:val="24"/>
          <w:highlight w:val="none"/>
        </w:rPr>
      </w:pPr>
      <w:r>
        <w:rPr>
          <w:rFonts w:hint="eastAsia" w:ascii="宋体" w:hAnsi="宋体" w:cs="宋体"/>
          <w:color w:val="auto"/>
          <w:kern w:val="0"/>
          <w:sz w:val="24"/>
          <w:szCs w:val="24"/>
          <w:highlight w:val="none"/>
          <w:shd w:val="clear" w:color="auto" w:fill="auto"/>
          <w:lang w:val="en-US" w:eastAsia="zh-CN" w:bidi="ar"/>
        </w:rPr>
        <w:t>12</w:t>
      </w:r>
      <w:r>
        <w:rPr>
          <w:rFonts w:hint="eastAsia" w:ascii="宋体" w:hAnsi="宋体"/>
          <w:b/>
          <w:color w:val="auto"/>
          <w:sz w:val="24"/>
          <w:szCs w:val="24"/>
          <w:highlight w:val="none"/>
        </w:rPr>
        <w:t>.</w:t>
      </w:r>
      <w:r>
        <w:rPr>
          <w:rFonts w:hint="eastAsia" w:ascii="宋体" w:hAnsi="宋体" w:eastAsia="宋体" w:cs="宋体"/>
          <w:color w:val="auto"/>
          <w:kern w:val="0"/>
          <w:sz w:val="24"/>
          <w:szCs w:val="24"/>
          <w:highlight w:val="none"/>
          <w:shd w:val="clear" w:color="auto" w:fill="auto"/>
          <w:lang w:val="en-US" w:eastAsia="zh-CN" w:bidi="ar"/>
        </w:rPr>
        <w:t>由于市行政服务中心地下停车库不让限高&gt;2米车辆进入，因此送样品的车辆限高≦2米。不遵守此规定，后果自负。</w:t>
      </w:r>
    </w:p>
    <w:p w14:paraId="21F6E537">
      <w:pPr>
        <w:spacing w:line="360" w:lineRule="auto"/>
        <w:rPr>
          <w:rFonts w:ascii="宋体" w:hAnsi="宋体"/>
          <w:b/>
          <w:color w:val="auto"/>
          <w:sz w:val="24"/>
          <w:szCs w:val="24"/>
          <w:highlight w:val="none"/>
        </w:rPr>
      </w:pPr>
      <w:r>
        <w:rPr>
          <w:rFonts w:hint="eastAsia" w:ascii="宋体" w:hAnsi="宋体"/>
          <w:b/>
          <w:color w:val="auto"/>
          <w:sz w:val="24"/>
          <w:szCs w:val="24"/>
          <w:highlight w:val="none"/>
        </w:rPr>
        <w:t>三、投标人资格要求</w:t>
      </w:r>
    </w:p>
    <w:p w14:paraId="3EBB792E">
      <w:pPr>
        <w:snapToGrid w:val="0"/>
        <w:spacing w:line="360" w:lineRule="auto"/>
        <w:ind w:firstLine="482" w:firstLineChars="200"/>
        <w:rPr>
          <w:rFonts w:ascii="宋体" w:hAnsi="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1.投标人应提供工商营业执照（副本）的复印件（加盖公章）。</w:t>
      </w:r>
    </w:p>
    <w:p w14:paraId="3A0E0F19">
      <w:pPr>
        <w:pStyle w:val="9"/>
        <w:shd w:val="clear" w:color="auto" w:fill="FFFFFF"/>
        <w:spacing w:before="0" w:beforeAutospacing="0" w:after="0" w:afterAutospacing="0" w:line="360" w:lineRule="auto"/>
        <w:ind w:firstLine="482" w:firstLineChars="200"/>
        <w:rPr>
          <w:rFonts w:ascii="Times New Roman" w:hAnsi="Times New Roman"/>
          <w:b/>
          <w:color w:val="auto"/>
          <w:highlight w:val="none"/>
        </w:rPr>
      </w:pPr>
      <w:r>
        <w:rPr>
          <w:rFonts w:hint="eastAsia" w:ascii="宋体" w:hAnsi="宋体" w:cs="宋体"/>
          <w:b/>
          <w:bCs/>
          <w:color w:val="auto"/>
          <w:sz w:val="24"/>
          <w:szCs w:val="24"/>
          <w:highlight w:val="none"/>
        </w:rPr>
        <w:t>★</w:t>
      </w:r>
      <w:r>
        <w:rPr>
          <w:b/>
          <w:color w:val="auto"/>
          <w:highlight w:val="none"/>
        </w:rPr>
        <w:t>2.</w:t>
      </w:r>
      <w:r>
        <w:rPr>
          <w:rFonts w:hint="eastAsia"/>
          <w:b/>
          <w:color w:val="auto"/>
          <w:highlight w:val="none"/>
        </w:rPr>
        <w:t>投标人全权代表若不是单位负责人，应提供单位授权书原件，并提供被授权代表身份证复印件。</w:t>
      </w:r>
    </w:p>
    <w:p w14:paraId="0CAEE912">
      <w:pPr>
        <w:pStyle w:val="9"/>
        <w:shd w:val="clear" w:color="auto" w:fill="FFFFFF"/>
        <w:spacing w:before="0" w:beforeAutospacing="0" w:after="0" w:afterAutospacing="0" w:line="360" w:lineRule="auto"/>
        <w:ind w:firstLine="482" w:firstLineChars="200"/>
        <w:rPr>
          <w:b/>
          <w:color w:val="auto"/>
          <w:highlight w:val="none"/>
        </w:rPr>
      </w:pPr>
      <w:r>
        <w:rPr>
          <w:rFonts w:hint="eastAsia" w:ascii="宋体" w:hAnsi="宋体" w:cs="宋体"/>
          <w:b/>
          <w:bCs/>
          <w:color w:val="auto"/>
          <w:sz w:val="24"/>
          <w:szCs w:val="24"/>
          <w:highlight w:val="none"/>
        </w:rPr>
        <w:t>★</w:t>
      </w:r>
      <w:r>
        <w:rPr>
          <w:b/>
          <w:color w:val="auto"/>
          <w:highlight w:val="none"/>
        </w:rPr>
        <w:t>3.</w:t>
      </w:r>
      <w:r>
        <w:rPr>
          <w:rFonts w:hint="eastAsia"/>
          <w:b/>
          <w:color w:val="auto"/>
          <w:highlight w:val="none"/>
        </w:rPr>
        <w:t>本项目专门面向</w:t>
      </w:r>
      <w:r>
        <w:rPr>
          <w:rFonts w:hint="eastAsia"/>
          <w:b/>
          <w:color w:val="auto"/>
          <w:highlight w:val="none"/>
          <w:lang w:val="en-US" w:eastAsia="zh-CN"/>
        </w:rPr>
        <w:t>小微</w:t>
      </w:r>
      <w:r>
        <w:rPr>
          <w:rFonts w:hint="eastAsia"/>
          <w:b/>
          <w:color w:val="auto"/>
          <w:highlight w:val="none"/>
        </w:rPr>
        <w:t>企业采购，投标人所投所有采购标的均为小微企业制造，并提供中小企业声明函，非</w:t>
      </w:r>
      <w:r>
        <w:rPr>
          <w:rFonts w:hint="eastAsia"/>
          <w:b/>
          <w:color w:val="auto"/>
          <w:highlight w:val="none"/>
          <w:lang w:val="en-US" w:eastAsia="zh-CN"/>
        </w:rPr>
        <w:t>小微</w:t>
      </w:r>
      <w:r>
        <w:rPr>
          <w:rFonts w:hint="eastAsia"/>
          <w:b/>
          <w:color w:val="auto"/>
          <w:highlight w:val="none"/>
        </w:rPr>
        <w:t>企业投标将被拒绝，且本项目不再执行价格评审优惠的扶持政策。</w:t>
      </w:r>
    </w:p>
    <w:p w14:paraId="3AB57B2B">
      <w:pPr>
        <w:pStyle w:val="9"/>
        <w:shd w:val="clear" w:color="auto" w:fill="FFFFFF"/>
        <w:spacing w:before="0" w:beforeAutospacing="0" w:after="0" w:afterAutospacing="0" w:line="360" w:lineRule="auto"/>
        <w:rPr>
          <w:b/>
          <w:color w:val="auto"/>
          <w:highlight w:val="none"/>
        </w:rPr>
      </w:pPr>
      <w:r>
        <w:rPr>
          <w:rFonts w:hint="eastAsia"/>
          <w:b/>
          <w:color w:val="auto"/>
          <w:highlight w:val="none"/>
        </w:rPr>
        <w:t>四、商务响应要求</w:t>
      </w:r>
    </w:p>
    <w:p w14:paraId="14BB323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投标人应在投标文件中提供最近三年来在中国，类似项目的合同业绩证明材料（提供项目中标公告或中标通知书及合同复印件，加盖单位公章，原件备查），需提供项目名称、合同金额、中标日期、联系人、用户反馈意见。</w:t>
      </w:r>
    </w:p>
    <w:p w14:paraId="261334D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2.投标人应在投标文件中书面承诺自身已经具备自行生产所投价的全系列产品的能力。</w:t>
      </w:r>
    </w:p>
    <w:p w14:paraId="3DD1C9E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3.投标人应在投标文件中提供会计师事务所出具的上年审计报告和最近一期的会计报表及银行出具的资信证明文件；如属新企业需出具当年验资报告。</w:t>
      </w:r>
    </w:p>
    <w:p w14:paraId="65DA52A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4.投标人应在投标文件中提供近三年以来地级市以上质量检测单位出具的成品抽样检测报告。</w:t>
      </w:r>
    </w:p>
    <w:p w14:paraId="2113470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5.投标人应在投标文件中提供生产合同管理计划保证书一份。</w:t>
      </w:r>
    </w:p>
    <w:p w14:paraId="4E472053">
      <w:pPr>
        <w:spacing w:line="360" w:lineRule="auto"/>
        <w:rPr>
          <w:rFonts w:ascii="宋体" w:hAnsi="宋体"/>
          <w:b/>
          <w:color w:val="auto"/>
          <w:sz w:val="24"/>
          <w:szCs w:val="24"/>
          <w:highlight w:val="none"/>
        </w:rPr>
      </w:pPr>
      <w:r>
        <w:rPr>
          <w:rFonts w:hint="eastAsia" w:ascii="宋体" w:hAnsi="宋体"/>
          <w:b/>
          <w:color w:val="auto"/>
          <w:sz w:val="24"/>
          <w:szCs w:val="24"/>
          <w:highlight w:val="none"/>
        </w:rPr>
        <w:t>五、货物质量标准、验收标准</w:t>
      </w:r>
    </w:p>
    <w:p w14:paraId="070FFF30">
      <w:pPr>
        <w:pStyle w:val="4"/>
        <w:spacing w:line="360" w:lineRule="auto"/>
        <w:ind w:left="0" w:leftChars="0" w:firstLine="480" w:firstLineChars="200"/>
        <w:rPr>
          <w:rFonts w:ascii="宋体" w:hAnsi="宋体"/>
          <w:color w:val="auto"/>
          <w:sz w:val="24"/>
          <w:highlight w:val="none"/>
        </w:rPr>
      </w:pPr>
      <w:r>
        <w:rPr>
          <w:rFonts w:hint="eastAsia" w:ascii="宋体" w:hAnsi="宋体"/>
          <w:color w:val="auto"/>
          <w:sz w:val="24"/>
          <w:highlight w:val="none"/>
        </w:rPr>
        <w:t>1．投标人提供货物的制造标准、安装标准、验收标准及技术规范等有关资料应符合国家规定的有关标准、规范要求。</w:t>
      </w:r>
    </w:p>
    <w:p w14:paraId="4B6E36F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2．投标人应保证提供原产、正宗品牌货物，不得用伪劣货物替代；如出现上述质量问题采购单位有权退货并解除合同。</w:t>
      </w:r>
    </w:p>
    <w:p w14:paraId="1C40B23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3．在生产过程或验收过程中发现中标供应商对中标货物进行分包、转包，采购单位有权单方解除合同并有权拒付全部货款。所有中标产品须有中标供应商的注册商标。</w:t>
      </w:r>
    </w:p>
    <w:p w14:paraId="182EEEA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4．货物安装所需的配件或附加件，在合同签订前由中标供应商提交具体清单给</w:t>
      </w:r>
      <w:r>
        <w:rPr>
          <w:rFonts w:hint="eastAsia" w:ascii="宋体" w:hAnsi="宋体"/>
          <w:bCs/>
          <w:color w:val="auto"/>
          <w:sz w:val="24"/>
          <w:szCs w:val="24"/>
          <w:highlight w:val="none"/>
        </w:rPr>
        <w:t>使用</w:t>
      </w:r>
      <w:r>
        <w:rPr>
          <w:rFonts w:hint="eastAsia" w:ascii="宋体" w:hAnsi="宋体"/>
          <w:color w:val="auto"/>
          <w:sz w:val="24"/>
          <w:szCs w:val="24"/>
          <w:highlight w:val="none"/>
        </w:rPr>
        <w:t>单位确认。</w:t>
      </w:r>
    </w:p>
    <w:p w14:paraId="74EBC588">
      <w:pPr>
        <w:spacing w:line="360" w:lineRule="auto"/>
        <w:ind w:firstLine="482" w:firstLineChars="200"/>
        <w:rPr>
          <w:rFonts w:ascii="宋体" w:hAnsi="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5.投标人承诺中标后生产前，向使用单位确定所供货物的相关事项，经使用单位书面确认</w:t>
      </w:r>
      <w:r>
        <w:rPr>
          <w:rFonts w:hint="eastAsia" w:ascii="宋体" w:hAnsi="宋体"/>
          <w:b/>
          <w:color w:val="auto"/>
          <w:sz w:val="24"/>
          <w:szCs w:val="24"/>
          <w:highlight w:val="none"/>
          <w:lang w:val="en-US" w:eastAsia="zh-CN"/>
        </w:rPr>
        <w:t>产品尺寸及产品数量</w:t>
      </w:r>
      <w:r>
        <w:rPr>
          <w:rFonts w:hint="eastAsia" w:ascii="宋体" w:hAnsi="宋体"/>
          <w:b/>
          <w:color w:val="auto"/>
          <w:sz w:val="24"/>
          <w:szCs w:val="24"/>
          <w:highlight w:val="none"/>
        </w:rPr>
        <w:t>是否增减后方可投入生产。否则，由此产生的一切后果由中标供应商负责。</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p w14:paraId="449CC8AD">
      <w:pPr>
        <w:pStyle w:val="5"/>
        <w:spacing w:line="360" w:lineRule="auto"/>
        <w:ind w:firstLine="480" w:firstLineChars="200"/>
        <w:rPr>
          <w:rFonts w:hAnsi="宋体" w:cs="宋体"/>
          <w:color w:val="auto"/>
          <w:spacing w:val="3"/>
          <w:sz w:val="24"/>
          <w:szCs w:val="24"/>
          <w:highlight w:val="none"/>
        </w:rPr>
      </w:pPr>
      <w:r>
        <w:rPr>
          <w:rFonts w:hint="eastAsia" w:hAnsi="宋体"/>
          <w:bCs/>
          <w:color w:val="auto"/>
          <w:sz w:val="24"/>
          <w:szCs w:val="24"/>
          <w:highlight w:val="none"/>
        </w:rPr>
        <w:t>6.验收要求：①</w:t>
      </w:r>
      <w:r>
        <w:rPr>
          <w:rFonts w:hint="eastAsia" w:hAnsi="宋体" w:cs="宋体"/>
          <w:color w:val="auto"/>
          <w:spacing w:val="3"/>
          <w:sz w:val="24"/>
          <w:szCs w:val="24"/>
          <w:highlight w:val="none"/>
        </w:rPr>
        <w:t>采购文件、清单、国家有关的质量标准规定，均为验收依据；②货物运抵学校指定位置后，由使用单位、供应商对照采购清单及技术要求进行到货验收。</w:t>
      </w:r>
    </w:p>
    <w:p w14:paraId="47AE133B">
      <w:pPr>
        <w:pStyle w:val="5"/>
        <w:spacing w:line="360" w:lineRule="auto"/>
        <w:ind w:firstLine="480" w:firstLineChars="200"/>
        <w:rPr>
          <w:rFonts w:hAnsi="宋体"/>
          <w:color w:val="auto"/>
          <w:sz w:val="24"/>
          <w:szCs w:val="24"/>
          <w:highlight w:val="none"/>
        </w:rPr>
      </w:pPr>
      <w:r>
        <w:rPr>
          <w:rFonts w:hint="eastAsia" w:hAnsi="宋体"/>
          <w:color w:val="auto"/>
          <w:sz w:val="24"/>
          <w:szCs w:val="24"/>
          <w:highlight w:val="none"/>
        </w:rPr>
        <w:t>7.货物初验：货物运抵采购单位指定地点后由</w:t>
      </w:r>
      <w:r>
        <w:rPr>
          <w:rFonts w:hint="eastAsia" w:hAnsi="宋体"/>
          <w:bCs/>
          <w:color w:val="auto"/>
          <w:sz w:val="24"/>
          <w:szCs w:val="24"/>
          <w:highlight w:val="none"/>
        </w:rPr>
        <w:t>使用</w:t>
      </w:r>
      <w:r>
        <w:rPr>
          <w:rFonts w:hint="eastAsia" w:hAnsi="宋体"/>
          <w:color w:val="auto"/>
          <w:sz w:val="24"/>
          <w:szCs w:val="24"/>
          <w:highlight w:val="none"/>
        </w:rPr>
        <w:t>单位对照采购清单对外观、包装及数量进行验收。到货初验时，中标供应商代表必须在场。同时，中标供应商必须提供货物的相关手续（品牌证书、装箱清单含货物的主附件、原产地证明书、品质保证书、出厂检验报告、合格证书、使用及维护说明书）。每件产品必须说明材质、规格、涂料、粘合剂等及是否含有毒、有害物质等情况。</w:t>
      </w:r>
    </w:p>
    <w:p w14:paraId="681E0DD2">
      <w:pPr>
        <w:pStyle w:val="5"/>
        <w:tabs>
          <w:tab w:val="left" w:pos="540"/>
        </w:tabs>
        <w:spacing w:line="360" w:lineRule="auto"/>
        <w:ind w:firstLine="480" w:firstLineChars="200"/>
        <w:rPr>
          <w:rFonts w:hAnsi="宋体"/>
          <w:color w:val="auto"/>
          <w:sz w:val="24"/>
          <w:szCs w:val="24"/>
          <w:highlight w:val="none"/>
        </w:rPr>
      </w:pPr>
      <w:r>
        <w:rPr>
          <w:rFonts w:hint="eastAsia" w:hAnsi="宋体"/>
          <w:color w:val="auto"/>
          <w:sz w:val="24"/>
          <w:szCs w:val="24"/>
          <w:highlight w:val="none"/>
        </w:rPr>
        <w:t>8.最终验收：中标供应商负责现场安装、调试，待性能指标经验收合格后（附验收报告），中标供应商应与使用单位共同签署《厦门市政府采购验收报告》。</w:t>
      </w:r>
    </w:p>
    <w:p w14:paraId="1919945E">
      <w:pPr>
        <w:spacing w:line="360" w:lineRule="auto"/>
        <w:ind w:firstLine="482" w:firstLineChars="200"/>
        <w:rPr>
          <w:rFonts w:ascii="宋体" w:hAnsi="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9.投标人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p w14:paraId="0FBD4263">
      <w:pPr>
        <w:pStyle w:val="5"/>
        <w:spacing w:line="360" w:lineRule="auto"/>
        <w:ind w:firstLine="480" w:firstLineChars="200"/>
        <w:rPr>
          <w:rFonts w:hAnsi="宋体"/>
          <w:color w:val="auto"/>
          <w:sz w:val="24"/>
          <w:szCs w:val="24"/>
          <w:highlight w:val="none"/>
        </w:rPr>
      </w:pPr>
      <w:r>
        <w:rPr>
          <w:rFonts w:hint="eastAsia" w:hAnsi="宋体"/>
          <w:color w:val="auto"/>
          <w:sz w:val="24"/>
          <w:szCs w:val="24"/>
          <w:highlight w:val="none"/>
        </w:rPr>
        <w:t>10.投标人不得虚报各项技术指标，中标产品若不能符合技术要求、招标文件及合同约定的，采购单位有权退货并单方解除合同，中标供应商除退还所有的货款外，还应向支付合同总价50%的违约金。</w:t>
      </w:r>
    </w:p>
    <w:p w14:paraId="14CC2D9E">
      <w:pPr>
        <w:spacing w:line="360" w:lineRule="auto"/>
        <w:ind w:firstLine="482" w:firstLineChars="200"/>
        <w:rPr>
          <w:rFonts w:hint="default" w:ascii="宋体" w:hAnsi="宋体" w:eastAsia="宋体"/>
          <w:b/>
          <w:color w:val="auto"/>
          <w:sz w:val="24"/>
          <w:szCs w:val="24"/>
          <w:highlight w:val="none"/>
          <w:lang w:val="en-US" w:eastAsia="zh-CN"/>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11.投标人承诺一旦中标，在保证按招标文件中要求提供的产品数量进行供货外，还应保证能够免费提供足够的样品供使用单位邀请相关部门对其在封闭式的环境中进行开放性的检测</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如经检测</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货物或样品的</w:t>
      </w:r>
      <w:r>
        <w:rPr>
          <w:rFonts w:hint="eastAsia" w:ascii="宋体" w:hAnsi="宋体"/>
          <w:b/>
          <w:color w:val="auto"/>
          <w:sz w:val="24"/>
          <w:szCs w:val="24"/>
          <w:highlight w:val="none"/>
        </w:rPr>
        <w:t>环保等指标达不到国家以及招标文件中的要求，投标人应按中标价的2倍金额赔偿给采购单位</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对学生身体健康产生负面影响或造成其他不良后果的，投标人还应赔偿相应损失。投标人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p w14:paraId="2CDF9351">
      <w:pPr>
        <w:spacing w:line="360" w:lineRule="auto"/>
        <w:jc w:val="left"/>
        <w:rPr>
          <w:rFonts w:ascii="宋体" w:hAnsi="宋体"/>
          <w:b/>
          <w:color w:val="auto"/>
          <w:sz w:val="24"/>
          <w:szCs w:val="24"/>
          <w:highlight w:val="none"/>
        </w:rPr>
      </w:pPr>
      <w:r>
        <w:rPr>
          <w:rFonts w:hint="eastAsia" w:ascii="宋体" w:hAnsi="宋体"/>
          <w:b/>
          <w:color w:val="auto"/>
          <w:sz w:val="24"/>
          <w:szCs w:val="24"/>
          <w:highlight w:val="none"/>
        </w:rPr>
        <w:t>六、货物技术服务要求</w:t>
      </w:r>
    </w:p>
    <w:p w14:paraId="14015D91">
      <w:pPr>
        <w:spacing w:line="360" w:lineRule="auto"/>
        <w:ind w:firstLine="482" w:firstLineChars="200"/>
        <w:rPr>
          <w:rFonts w:ascii="宋体" w:hAnsi="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p w14:paraId="58FFCEC4">
      <w:pPr>
        <w:pStyle w:val="5"/>
        <w:spacing w:line="360" w:lineRule="auto"/>
        <w:ind w:firstLine="480" w:firstLineChars="200"/>
        <w:rPr>
          <w:rFonts w:hAnsi="宋体"/>
          <w:color w:val="auto"/>
          <w:sz w:val="24"/>
          <w:szCs w:val="24"/>
          <w:highlight w:val="none"/>
        </w:rPr>
      </w:pPr>
      <w:r>
        <w:rPr>
          <w:rFonts w:hint="eastAsia" w:hAnsi="宋体"/>
          <w:color w:val="auto"/>
          <w:sz w:val="24"/>
          <w:szCs w:val="24"/>
          <w:highlight w:val="none"/>
        </w:rPr>
        <w:t>2.投标人应单独列出质保期后年维护费用（全包，包括零配件费用等包干计取，按总报价的百分之几报价）,待质保期过后按实际发生的维护情况由投标人提供相应的票据经采购单位确认后结算（结算金额不超过此项报价）。投标人应提供免费技术支持力度等情况。</w:t>
      </w:r>
    </w:p>
    <w:p w14:paraId="02F5032F">
      <w:pPr>
        <w:pStyle w:val="5"/>
        <w:spacing w:line="360" w:lineRule="auto"/>
        <w:ind w:firstLine="480" w:firstLineChars="200"/>
        <w:rPr>
          <w:rFonts w:hAnsi="宋体"/>
          <w:color w:val="auto"/>
          <w:sz w:val="24"/>
          <w:szCs w:val="24"/>
          <w:highlight w:val="none"/>
        </w:rPr>
      </w:pPr>
      <w:r>
        <w:rPr>
          <w:rFonts w:hint="eastAsia" w:hAnsi="宋体"/>
          <w:color w:val="auto"/>
          <w:sz w:val="24"/>
          <w:szCs w:val="24"/>
          <w:highlight w:val="none"/>
        </w:rPr>
        <w:t>3.投标人能长期提供良好的技术支持及备品备件的优惠供应。</w:t>
      </w:r>
    </w:p>
    <w:p w14:paraId="4B674564">
      <w:pPr>
        <w:pStyle w:val="5"/>
        <w:spacing w:line="360" w:lineRule="auto"/>
        <w:ind w:firstLine="480" w:firstLineChars="200"/>
        <w:rPr>
          <w:rFonts w:hAnsi="宋体"/>
          <w:color w:val="auto"/>
          <w:sz w:val="24"/>
          <w:szCs w:val="24"/>
          <w:highlight w:val="none"/>
        </w:rPr>
      </w:pPr>
      <w:r>
        <w:rPr>
          <w:rFonts w:hint="eastAsia" w:hAnsi="宋体"/>
          <w:color w:val="auto"/>
          <w:sz w:val="24"/>
          <w:szCs w:val="24"/>
          <w:highlight w:val="none"/>
        </w:rPr>
        <w:t>4.投标人如有其它更好的售后服务应在方案中书面声明。</w:t>
      </w:r>
    </w:p>
    <w:p w14:paraId="39743CF4">
      <w:pPr>
        <w:spacing w:line="360" w:lineRule="auto"/>
        <w:rPr>
          <w:rFonts w:ascii="宋体" w:hAnsi="宋体"/>
          <w:b/>
          <w:color w:val="auto"/>
          <w:sz w:val="24"/>
          <w:szCs w:val="24"/>
          <w:highlight w:val="none"/>
        </w:rPr>
      </w:pPr>
      <w:r>
        <w:rPr>
          <w:rFonts w:hint="eastAsia" w:ascii="宋体" w:hAnsi="宋体"/>
          <w:b/>
          <w:color w:val="auto"/>
          <w:sz w:val="24"/>
          <w:szCs w:val="24"/>
          <w:highlight w:val="none"/>
        </w:rPr>
        <w:t>七、货物报价</w:t>
      </w:r>
    </w:p>
    <w:p w14:paraId="28C439F7">
      <w:pPr>
        <w:spacing w:line="360" w:lineRule="auto"/>
        <w:ind w:firstLine="482" w:firstLineChars="200"/>
        <w:rPr>
          <w:rFonts w:ascii="宋体" w:hAnsi="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1.投标人须以人民币报价且总报价应含货物费、运至采购单位指定地点的运输费、保险费和伴随服务费（包括产品检验检测）、安装调试（包括安装所需的辅材、配件等）费用、税收、招标代理服务费及售后服务等一切费用，报价方式为指定目的地价。采购单位不接受有选择的报价。</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p w14:paraId="3FF834A8">
      <w:pPr>
        <w:spacing w:line="360" w:lineRule="auto"/>
        <w:ind w:firstLine="482" w:firstLineChars="200"/>
        <w:rPr>
          <w:rFonts w:ascii="宋体" w:hAnsi="宋体"/>
          <w:b/>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2.本项目采购预算为人民币713.6888万元，</w:t>
      </w:r>
      <w:r>
        <w:rPr>
          <w:rFonts w:hint="eastAsia" w:ascii="宋体" w:hAnsi="宋体" w:cs="宋体"/>
          <w:b/>
          <w:color w:val="auto"/>
          <w:spacing w:val="4"/>
          <w:sz w:val="24"/>
          <w:szCs w:val="24"/>
          <w:highlight w:val="none"/>
        </w:rPr>
        <w:t>采购预算为各合同包总报价的最高限价，</w:t>
      </w:r>
      <w:r>
        <w:rPr>
          <w:rFonts w:hint="eastAsia" w:ascii="宋体" w:hAnsi="宋体"/>
          <w:b/>
          <w:color w:val="auto"/>
          <w:sz w:val="24"/>
          <w:szCs w:val="24"/>
          <w:highlight w:val="none"/>
        </w:rPr>
        <w:t>投标人各合同包总报价超过采购预算的属无效投标。</w:t>
      </w:r>
    </w:p>
    <w:p w14:paraId="3C615872">
      <w:pPr>
        <w:spacing w:line="360" w:lineRule="auto"/>
        <w:ind w:firstLine="496" w:firstLineChars="200"/>
        <w:rPr>
          <w:rFonts w:ascii="宋体" w:hAnsi="宋体"/>
          <w:color w:val="auto"/>
          <w:sz w:val="24"/>
          <w:highlight w:val="none"/>
        </w:rPr>
      </w:pPr>
      <w:r>
        <w:rPr>
          <w:rFonts w:hint="eastAsia" w:ascii="宋体" w:hAnsi="宋体"/>
          <w:color w:val="auto"/>
          <w:spacing w:val="4"/>
          <w:sz w:val="24"/>
          <w:highlight w:val="none"/>
        </w:rPr>
        <w:t>3.</w:t>
      </w:r>
      <w:r>
        <w:rPr>
          <w:rFonts w:hint="eastAsia" w:ascii="宋体" w:hAnsi="宋体"/>
          <w:color w:val="auto"/>
          <w:sz w:val="24"/>
          <w:highlight w:val="none"/>
        </w:rPr>
        <w:t>报价应分单价、小计、总价。</w:t>
      </w:r>
    </w:p>
    <w:p w14:paraId="70729AE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4.投标文件中标明的价格在合同执行过程中是固定不变的，不得以任何理由予以变更。以可变动价格提交的报价将被认为是非实质响应而被拒绝。</w:t>
      </w:r>
    </w:p>
    <w:p w14:paraId="198C4D3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.履约保证金及付款方式：详见第四章《大宗采购合同》。</w:t>
      </w:r>
    </w:p>
    <w:p w14:paraId="5DEC7D4B">
      <w:pPr>
        <w:spacing w:line="360" w:lineRule="auto"/>
        <w:rPr>
          <w:rFonts w:ascii="宋体" w:hAnsi="宋体"/>
          <w:b/>
          <w:color w:val="auto"/>
          <w:sz w:val="24"/>
          <w:szCs w:val="24"/>
          <w:highlight w:val="none"/>
        </w:rPr>
      </w:pPr>
      <w:r>
        <w:rPr>
          <w:rFonts w:hint="eastAsia" w:ascii="宋体" w:hAnsi="宋体"/>
          <w:b/>
          <w:color w:val="auto"/>
          <w:sz w:val="24"/>
          <w:szCs w:val="24"/>
          <w:highlight w:val="none"/>
        </w:rPr>
        <w:t>八、合同签订</w:t>
      </w:r>
    </w:p>
    <w:p w14:paraId="56FD08F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1.采购单位(或使用单位)、中标供应商应当在《中标通知书》发出之日起30日内签订合同。</w:t>
      </w:r>
    </w:p>
    <w:p w14:paraId="496F668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2.招标文件、投标文件均作为合同订立的基础，为合同组成部分。</w:t>
      </w:r>
    </w:p>
    <w:p w14:paraId="032ED3D9">
      <w:pPr>
        <w:widowControl/>
        <w:spacing w:line="360" w:lineRule="auto"/>
        <w:jc w:val="left"/>
        <w:rPr>
          <w:rFonts w:ascii="宋体" w:hAnsi="宋体"/>
          <w:b/>
          <w:color w:val="auto"/>
          <w:sz w:val="24"/>
          <w:szCs w:val="24"/>
          <w:highlight w:val="none"/>
        </w:rPr>
      </w:pPr>
      <w:r>
        <w:rPr>
          <w:rFonts w:hint="eastAsia" w:ascii="宋体" w:hAnsi="宋体"/>
          <w:b/>
          <w:color w:val="auto"/>
          <w:sz w:val="24"/>
          <w:szCs w:val="24"/>
          <w:highlight w:val="none"/>
        </w:rPr>
        <w:t>九、踏勘内容及要求</w:t>
      </w:r>
    </w:p>
    <w:p w14:paraId="0CBB4AE1">
      <w:pPr>
        <w:tabs>
          <w:tab w:val="left" w:pos="5130"/>
        </w:tabs>
        <w:spacing w:line="360" w:lineRule="auto"/>
        <w:ind w:firstLine="480" w:firstLineChars="200"/>
        <w:rPr>
          <w:rFonts w:ascii="宋体" w:hAnsi="宋体"/>
          <w:color w:val="auto"/>
          <w:sz w:val="24"/>
          <w:highlight w:val="none"/>
        </w:rPr>
      </w:pPr>
      <w:r>
        <w:rPr>
          <w:rFonts w:hint="eastAsia" w:ascii="宋体" w:hAnsi="宋体"/>
          <w:color w:val="auto"/>
          <w:sz w:val="24"/>
          <w:highlight w:val="none"/>
        </w:rPr>
        <w:t>1.本项目不组织集中现场踏勘，投标人可自行对项目现场及安装环境进行踏勘，以便获取有关编制投标文件和签署合同所涉及现场的资料。投标人应自行承担踏勘现场所发生的费用。</w:t>
      </w:r>
    </w:p>
    <w:p w14:paraId="217E74FD">
      <w:pPr>
        <w:tabs>
          <w:tab w:val="left" w:pos="5130"/>
        </w:tabs>
        <w:spacing w:line="360" w:lineRule="auto"/>
        <w:ind w:firstLine="480" w:firstLineChars="200"/>
        <w:rPr>
          <w:rFonts w:ascii="宋体" w:hAnsi="宋体"/>
          <w:color w:val="auto"/>
          <w:sz w:val="24"/>
          <w:highlight w:val="none"/>
        </w:rPr>
      </w:pPr>
      <w:r>
        <w:rPr>
          <w:rFonts w:hint="eastAsia" w:ascii="宋体" w:hAnsi="宋体"/>
          <w:color w:val="auto"/>
          <w:sz w:val="24"/>
          <w:highlight w:val="none"/>
        </w:rPr>
        <w:t>2.投标人及其人员经过施工现场管理人员的允许，可以踏勘为目的进入项目现场，但投标人及其人员不得因此使使用单位及其人员承担有关的责任和蒙受损失。投标人并应对由此次踏勘现场而造成的人员死亡、人身伤害、财产损失、损害以及任何其它损失、损害和引起的费用和开支承担责任。</w:t>
      </w:r>
    </w:p>
    <w:p w14:paraId="37847964">
      <w:pPr>
        <w:tabs>
          <w:tab w:val="left" w:pos="5130"/>
        </w:tabs>
        <w:spacing w:line="360" w:lineRule="auto"/>
        <w:ind w:firstLine="480" w:firstLineChars="200"/>
        <w:rPr>
          <w:rFonts w:ascii="宋体" w:hAnsi="宋体"/>
          <w:color w:val="auto"/>
          <w:sz w:val="24"/>
          <w:highlight w:val="none"/>
        </w:rPr>
      </w:pPr>
      <w:r>
        <w:rPr>
          <w:rFonts w:hint="eastAsia" w:ascii="宋体" w:hAnsi="宋体"/>
          <w:color w:val="auto"/>
          <w:sz w:val="24"/>
          <w:highlight w:val="none"/>
        </w:rPr>
        <w:t>3.投标人可自行对现场进行踏勘，并根据现场情况提供家具平面布置图及家具摆放过后的</w:t>
      </w:r>
      <w:r>
        <w:rPr>
          <w:rFonts w:ascii="宋体" w:hAnsi="宋体"/>
          <w:color w:val="auto"/>
          <w:sz w:val="24"/>
          <w:highlight w:val="none"/>
        </w:rPr>
        <w:t>效果图。</w:t>
      </w:r>
    </w:p>
    <w:p w14:paraId="015BA33B">
      <w:pPr>
        <w:tabs>
          <w:tab w:val="left" w:pos="5130"/>
        </w:tabs>
        <w:spacing w:line="360" w:lineRule="auto"/>
        <w:ind w:firstLine="480" w:firstLineChars="200"/>
        <w:rPr>
          <w:rFonts w:ascii="宋体" w:hAnsi="宋体"/>
          <w:color w:val="auto"/>
          <w:sz w:val="24"/>
          <w:highlight w:val="none"/>
        </w:rPr>
      </w:pPr>
      <w:r>
        <w:rPr>
          <w:rFonts w:ascii="宋体" w:hAnsi="宋体"/>
          <w:color w:val="auto"/>
          <w:sz w:val="24"/>
          <w:highlight w:val="none"/>
        </w:rPr>
        <w:t>4.使用单位向投标人提供的有关现场的资料和数据，是采购单位现有的能被投标人利用的资料。采购单位及使用单位对投标人做出的理解、推论和结论均不负责任，踏勘联系人及电话：</w:t>
      </w:r>
      <w:r>
        <w:rPr>
          <w:rFonts w:hint="eastAsia" w:ascii="宋体" w:hAnsi="宋体"/>
          <w:color w:val="auto"/>
          <w:sz w:val="24"/>
          <w:highlight w:val="none"/>
        </w:rPr>
        <w:t>张老师18059880810。</w:t>
      </w:r>
    </w:p>
    <w:p w14:paraId="2A45342D">
      <w:pPr>
        <w:widowControl/>
        <w:spacing w:line="360" w:lineRule="auto"/>
        <w:jc w:val="left"/>
        <w:rPr>
          <w:rFonts w:ascii="宋体" w:hAnsi="宋体"/>
          <w:color w:val="auto"/>
          <w:sz w:val="24"/>
          <w:szCs w:val="24"/>
          <w:highlight w:val="none"/>
        </w:rPr>
      </w:pPr>
      <w:r>
        <w:rPr>
          <w:rFonts w:hint="eastAsia" w:ascii="宋体" w:hAnsi="宋体"/>
          <w:b/>
          <w:color w:val="auto"/>
          <w:sz w:val="24"/>
          <w:szCs w:val="24"/>
          <w:highlight w:val="none"/>
        </w:rPr>
        <w:t xml:space="preserve">十、其他事项 </w:t>
      </w:r>
    </w:p>
    <w:p w14:paraId="2C4BBB1B">
      <w:pPr>
        <w:spacing w:line="360" w:lineRule="auto"/>
        <w:ind w:firstLine="482" w:firstLineChars="200"/>
        <w:rPr>
          <w:rFonts w:ascii="宋体" w:hAnsi="宋体"/>
          <w:b/>
          <w:bCs/>
          <w:color w:val="auto"/>
          <w:sz w:val="24"/>
          <w:szCs w:val="24"/>
          <w:highlight w:val="none"/>
        </w:rPr>
      </w:pPr>
      <w:r>
        <w:rPr>
          <w:rFonts w:hint="eastAsia" w:ascii="宋体" w:hAnsi="宋体" w:cs="宋体"/>
          <w:b/>
          <w:bCs/>
          <w:color w:val="auto"/>
          <w:sz w:val="24"/>
          <w:szCs w:val="24"/>
          <w:highlight w:val="none"/>
        </w:rPr>
        <w:t>★</w:t>
      </w:r>
      <w:r>
        <w:rPr>
          <w:rFonts w:hint="eastAsia" w:ascii="宋体" w:hAnsi="宋体"/>
          <w:b/>
          <w:color w:val="auto"/>
          <w:sz w:val="24"/>
          <w:szCs w:val="24"/>
          <w:highlight w:val="none"/>
        </w:rPr>
        <w:t>1.交付使用期：合同签订</w:t>
      </w:r>
      <w:r>
        <w:rPr>
          <w:rFonts w:hint="eastAsia" w:ascii="宋体" w:hAnsi="宋体"/>
          <w:b/>
          <w:color w:val="auto"/>
          <w:sz w:val="24"/>
          <w:szCs w:val="24"/>
          <w:highlight w:val="none"/>
          <w:lang w:val="en-US" w:eastAsia="zh-CN"/>
        </w:rPr>
        <w:t>后，收到使用单位通知</w:t>
      </w:r>
      <w:r>
        <w:rPr>
          <w:rFonts w:hint="eastAsia" w:ascii="宋体" w:hAnsi="宋体"/>
          <w:b/>
          <w:color w:val="auto"/>
          <w:sz w:val="24"/>
          <w:szCs w:val="24"/>
          <w:highlight w:val="none"/>
        </w:rPr>
        <w:t>之日起30个日历日内</w:t>
      </w:r>
      <w:r>
        <w:rPr>
          <w:rFonts w:hint="eastAsia" w:ascii="宋体" w:hAnsi="宋体"/>
          <w:b/>
          <w:bCs/>
          <w:color w:val="auto"/>
          <w:sz w:val="24"/>
          <w:szCs w:val="24"/>
          <w:highlight w:val="none"/>
        </w:rPr>
        <w:t>交货、安装调试完成并提交使用单位验收。</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p w14:paraId="17AEAEE9">
      <w:pPr>
        <w:spacing w:line="360" w:lineRule="auto"/>
        <w:ind w:firstLine="482" w:firstLineChars="200"/>
        <w:rPr>
          <w:rFonts w:ascii="宋体" w:hAnsi="宋体"/>
          <w:b/>
          <w:color w:val="auto"/>
          <w:sz w:val="24"/>
          <w:szCs w:val="24"/>
          <w:highlight w:val="none"/>
        </w:rPr>
      </w:pPr>
      <w:r>
        <w:rPr>
          <w:rFonts w:hint="eastAsia" w:ascii="宋体" w:hAnsi="宋体"/>
          <w:b/>
          <w:color w:val="auto"/>
          <w:sz w:val="24"/>
          <w:szCs w:val="24"/>
          <w:highlight w:val="none"/>
        </w:rPr>
        <w:t>2.投标有效期：投标截止之日起90个日历日。</w:t>
      </w:r>
    </w:p>
    <w:p w14:paraId="4957D10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3.投标人提供公司的基本情况、业绩、主要技术人员及资信证明。</w:t>
      </w:r>
    </w:p>
    <w:p w14:paraId="713B656C">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4．投标人在投标文件中详细说明所投货物的技术水平、性能等(材质构成、油漆、内外部结构、五金配件、制造工艺、生产流程、加工设备及其它)。</w:t>
      </w:r>
    </w:p>
    <w:p w14:paraId="349844E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5．附件及零配件：投标人应列出备品/备件及附件的清单及价格。</w:t>
      </w:r>
    </w:p>
    <w:p w14:paraId="7550D63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6．投标人认为有必要提供的其它技术资料。</w:t>
      </w:r>
    </w:p>
    <w:p w14:paraId="029D78D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7．投标人若有其它方面的特殊功能及优惠条件，可在投标文件中注明。</w:t>
      </w:r>
    </w:p>
    <w:p w14:paraId="0F0F57FF">
      <w:pPr>
        <w:spacing w:line="360" w:lineRule="auto"/>
        <w:ind w:firstLine="482" w:firstLineChars="200"/>
        <w:rPr>
          <w:rFonts w:ascii="宋体" w:hAnsi="宋体"/>
          <w:b/>
          <w:bCs w:val="0"/>
          <w:color w:val="auto"/>
          <w:sz w:val="24"/>
          <w:szCs w:val="24"/>
          <w:highlight w:val="none"/>
        </w:rPr>
      </w:pPr>
      <w:r>
        <w:rPr>
          <w:rFonts w:hint="eastAsia" w:ascii="宋体" w:hAnsi="宋体" w:cs="宋体"/>
          <w:b/>
          <w:bCs/>
          <w:color w:val="auto"/>
          <w:sz w:val="24"/>
          <w:szCs w:val="24"/>
          <w:highlight w:val="none"/>
        </w:rPr>
        <w:t>★</w:t>
      </w:r>
      <w:r>
        <w:rPr>
          <w:rFonts w:hint="eastAsia" w:ascii="宋体" w:hAnsi="宋体"/>
          <w:b/>
          <w:bCs w:val="0"/>
          <w:color w:val="auto"/>
          <w:sz w:val="24"/>
          <w:szCs w:val="24"/>
          <w:highlight w:val="none"/>
        </w:rPr>
        <w:t>8</w:t>
      </w:r>
      <w:r>
        <w:rPr>
          <w:rFonts w:hint="eastAsia" w:ascii="宋体" w:hAnsi="宋体"/>
          <w:b/>
          <w:color w:val="auto"/>
          <w:sz w:val="24"/>
          <w:szCs w:val="24"/>
          <w:highlight w:val="none"/>
        </w:rPr>
        <w:t>．投标人承诺一旦中标，如</w:t>
      </w:r>
      <w:r>
        <w:rPr>
          <w:rFonts w:hint="eastAsia" w:ascii="宋体" w:hAnsi="宋体"/>
          <w:b/>
          <w:bCs w:val="0"/>
          <w:color w:val="auto"/>
          <w:sz w:val="24"/>
          <w:szCs w:val="24"/>
          <w:highlight w:val="none"/>
        </w:rPr>
        <w:t>采购单位</w:t>
      </w:r>
      <w:r>
        <w:rPr>
          <w:rFonts w:hint="eastAsia" w:ascii="宋体" w:hAnsi="宋体"/>
          <w:b/>
          <w:bCs w:val="0"/>
          <w:color w:val="auto"/>
          <w:sz w:val="24"/>
          <w:szCs w:val="24"/>
          <w:highlight w:val="none"/>
          <w:lang w:eastAsia="zh-CN"/>
        </w:rPr>
        <w:t>（</w:t>
      </w:r>
      <w:r>
        <w:rPr>
          <w:rFonts w:hint="eastAsia" w:ascii="宋体" w:hAnsi="宋体"/>
          <w:b/>
          <w:bCs w:val="0"/>
          <w:color w:val="auto"/>
          <w:sz w:val="24"/>
          <w:szCs w:val="24"/>
          <w:highlight w:val="none"/>
          <w:lang w:val="en-US" w:eastAsia="zh-CN"/>
        </w:rPr>
        <w:t>或使用单位）</w:t>
      </w:r>
      <w:r>
        <w:rPr>
          <w:rFonts w:hint="eastAsia" w:ascii="宋体" w:hAnsi="宋体"/>
          <w:b/>
          <w:bCs w:val="0"/>
          <w:color w:val="auto"/>
          <w:sz w:val="24"/>
          <w:szCs w:val="24"/>
          <w:highlight w:val="none"/>
        </w:rPr>
        <w:t>对采购数量有所调整，将按中标单价调整合同总价，中标供应商不得有异议。如款式及</w:t>
      </w:r>
      <w:r>
        <w:rPr>
          <w:rFonts w:hint="eastAsia" w:ascii="宋体" w:hAnsi="宋体"/>
          <w:b/>
          <w:bCs w:val="0"/>
          <w:color w:val="auto"/>
          <w:sz w:val="24"/>
          <w:szCs w:val="24"/>
          <w:highlight w:val="none"/>
          <w:lang w:val="en-US" w:eastAsia="zh-CN"/>
        </w:rPr>
        <w:t>尺寸</w:t>
      </w:r>
      <w:r>
        <w:rPr>
          <w:rFonts w:hint="eastAsia" w:ascii="宋体" w:hAnsi="宋体"/>
          <w:b/>
          <w:bCs w:val="0"/>
          <w:color w:val="auto"/>
          <w:sz w:val="24"/>
          <w:szCs w:val="24"/>
          <w:highlight w:val="none"/>
        </w:rPr>
        <w:t>有所变动必须经采购单位书面确认，涉及单价变动的以中标单价为基准，由采购单位</w:t>
      </w:r>
      <w:r>
        <w:rPr>
          <w:rFonts w:hint="eastAsia" w:ascii="宋体" w:hAnsi="宋体"/>
          <w:b/>
          <w:bCs w:val="0"/>
          <w:color w:val="auto"/>
          <w:sz w:val="24"/>
          <w:szCs w:val="24"/>
          <w:highlight w:val="none"/>
          <w:lang w:eastAsia="zh-CN"/>
        </w:rPr>
        <w:t>（</w:t>
      </w:r>
      <w:r>
        <w:rPr>
          <w:rFonts w:hint="eastAsia" w:ascii="宋体" w:hAnsi="宋体"/>
          <w:b/>
          <w:bCs w:val="0"/>
          <w:color w:val="auto"/>
          <w:sz w:val="24"/>
          <w:szCs w:val="24"/>
          <w:highlight w:val="none"/>
          <w:lang w:val="en-US" w:eastAsia="zh-CN"/>
        </w:rPr>
        <w:t>或使用单位）</w:t>
      </w:r>
      <w:r>
        <w:rPr>
          <w:rFonts w:hint="eastAsia" w:ascii="宋体" w:hAnsi="宋体"/>
          <w:b/>
          <w:bCs w:val="0"/>
          <w:color w:val="auto"/>
          <w:sz w:val="24"/>
          <w:szCs w:val="24"/>
          <w:highlight w:val="none"/>
        </w:rPr>
        <w:t>和中标供应商协商确定。</w:t>
      </w:r>
      <w:r>
        <w:rPr>
          <w:rFonts w:hint="eastAsia" w:ascii="宋体" w:hAnsi="宋体"/>
          <w:b/>
          <w:color w:val="auto"/>
          <w:sz w:val="24"/>
          <w:szCs w:val="24"/>
          <w:highlight w:val="none"/>
          <w:lang w:val="en-US" w:eastAsia="zh-CN"/>
        </w:rPr>
        <w:t>投标人</w:t>
      </w:r>
      <w:r>
        <w:rPr>
          <w:rFonts w:hint="eastAsia" w:ascii="宋体" w:hAnsi="宋体"/>
          <w:b/>
          <w:color w:val="auto"/>
          <w:sz w:val="24"/>
          <w:szCs w:val="24"/>
          <w:highlight w:val="none"/>
        </w:rPr>
        <w:t>须在投标文件提供书面承诺函</w:t>
      </w:r>
      <w:r>
        <w:rPr>
          <w:rFonts w:hint="eastAsia" w:ascii="宋体" w:hAnsi="宋体"/>
          <w:b/>
          <w:color w:val="auto"/>
          <w:sz w:val="24"/>
          <w:szCs w:val="24"/>
          <w:highlight w:val="none"/>
          <w:lang w:eastAsia="zh-CN"/>
        </w:rPr>
        <w:t>，</w:t>
      </w:r>
      <w:r>
        <w:rPr>
          <w:rFonts w:hint="eastAsia" w:ascii="宋体" w:hAnsi="宋体"/>
          <w:b/>
          <w:color w:val="auto"/>
          <w:sz w:val="24"/>
          <w:szCs w:val="24"/>
          <w:highlight w:val="none"/>
          <w:lang w:val="en-US" w:eastAsia="zh-CN"/>
        </w:rPr>
        <w:t>否则作无效投标处理。</w:t>
      </w:r>
    </w:p>
    <w:p w14:paraId="3273F7A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9.中标供应商在供货、安装调试及验收过程中若有出现安全事故，其责任及相应的赔偿均由中标供应商自行承担，使用单位不承担所有责任及义务。</w:t>
      </w:r>
    </w:p>
    <w:p w14:paraId="72E5722F">
      <w:pPr>
        <w:tabs>
          <w:tab w:val="left" w:pos="5130"/>
        </w:tabs>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10</w:t>
      </w:r>
      <w:r>
        <w:rPr>
          <w:rFonts w:ascii="宋体" w:hAnsi="宋体"/>
          <w:color w:val="auto"/>
          <w:sz w:val="24"/>
          <w:szCs w:val="24"/>
          <w:highlight w:val="none"/>
        </w:rPr>
        <w:t>.</w:t>
      </w:r>
      <w:r>
        <w:rPr>
          <w:rFonts w:hint="eastAsia" w:ascii="宋体" w:hAnsi="宋体"/>
          <w:color w:val="auto"/>
          <w:sz w:val="24"/>
          <w:szCs w:val="24"/>
          <w:highlight w:val="none"/>
          <w:lang w:val="en-US" w:eastAsia="zh-CN"/>
        </w:rPr>
        <w:t>投标人</w:t>
      </w:r>
      <w:r>
        <w:rPr>
          <w:rFonts w:hint="eastAsia" w:ascii="宋体" w:hAnsi="宋体"/>
          <w:color w:val="auto"/>
          <w:sz w:val="24"/>
          <w:szCs w:val="24"/>
          <w:highlight w:val="none"/>
        </w:rPr>
        <w:t>提供的采购标的应符合国家知识产权法律、法规的规定且非假冒伪劣品；</w:t>
      </w:r>
      <w:r>
        <w:rPr>
          <w:rFonts w:hint="eastAsia" w:ascii="宋体" w:hAnsi="宋体"/>
          <w:color w:val="auto"/>
          <w:sz w:val="24"/>
          <w:szCs w:val="24"/>
          <w:highlight w:val="none"/>
          <w:lang w:val="en-US" w:eastAsia="zh-CN"/>
        </w:rPr>
        <w:t>投标人中标</w:t>
      </w:r>
      <w:r>
        <w:rPr>
          <w:rFonts w:hint="eastAsia" w:ascii="宋体" w:hAnsi="宋体"/>
          <w:color w:val="auto"/>
          <w:sz w:val="24"/>
          <w:szCs w:val="24"/>
          <w:highlight w:val="none"/>
        </w:rPr>
        <w:t>后需保证采购单位或使用单位均不受到第三方关于侵犯知识产权及专利权、商标权或工业设计权等知识产权方面的指控，若任何第三方提出此方面指控均与采购单位及使用单位无关，</w:t>
      </w:r>
      <w:r>
        <w:rPr>
          <w:rFonts w:hint="eastAsia" w:ascii="宋体" w:hAnsi="宋体"/>
          <w:color w:val="auto"/>
          <w:sz w:val="24"/>
          <w:szCs w:val="24"/>
          <w:highlight w:val="none"/>
          <w:lang w:eastAsia="zh-CN"/>
        </w:rPr>
        <w:t>中标供应商</w:t>
      </w:r>
      <w:r>
        <w:rPr>
          <w:rFonts w:hint="eastAsia" w:ascii="宋体" w:hAnsi="宋体"/>
          <w:color w:val="auto"/>
          <w:sz w:val="24"/>
          <w:szCs w:val="24"/>
          <w:highlight w:val="none"/>
        </w:rPr>
        <w:t>应与第三方交涉，并承担可能发生的一切法律责任、费用和后果；若采购单位或使用单位因此而遭致损失，则</w:t>
      </w:r>
      <w:r>
        <w:rPr>
          <w:rFonts w:hint="eastAsia" w:ascii="宋体" w:hAnsi="宋体"/>
          <w:color w:val="auto"/>
          <w:sz w:val="24"/>
          <w:szCs w:val="24"/>
          <w:highlight w:val="none"/>
          <w:lang w:eastAsia="zh-CN"/>
        </w:rPr>
        <w:t>中标供应商</w:t>
      </w:r>
      <w:r>
        <w:rPr>
          <w:rFonts w:hint="eastAsia" w:ascii="宋体" w:hAnsi="宋体"/>
          <w:color w:val="auto"/>
          <w:sz w:val="24"/>
          <w:szCs w:val="24"/>
          <w:highlight w:val="none"/>
        </w:rPr>
        <w:t>应赔偿该损失。</w:t>
      </w:r>
    </w:p>
    <w:p w14:paraId="39752E97">
      <w:pPr>
        <w:spacing w:line="360" w:lineRule="auto"/>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lang w:val="en-US" w:eastAsia="zh-CN"/>
        </w:rPr>
        <w:t>11</w:t>
      </w:r>
      <w:r>
        <w:rPr>
          <w:rFonts w:hint="eastAsia" w:ascii="宋体" w:hAnsi="宋体"/>
          <w:b/>
          <w:bCs/>
          <w:color w:val="auto"/>
          <w:sz w:val="24"/>
          <w:szCs w:val="24"/>
          <w:highlight w:val="none"/>
        </w:rPr>
        <w:t>.违约责任</w:t>
      </w:r>
    </w:p>
    <w:p w14:paraId="4E23FA5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11</w:t>
      </w:r>
      <w:r>
        <w:rPr>
          <w:rFonts w:hint="eastAsia" w:ascii="宋体" w:hAnsi="宋体"/>
          <w:color w:val="auto"/>
          <w:sz w:val="24"/>
          <w:szCs w:val="24"/>
          <w:highlight w:val="none"/>
        </w:rPr>
        <w:t>.1.</w:t>
      </w:r>
      <w:r>
        <w:rPr>
          <w:rFonts w:hint="eastAsia" w:ascii="宋体" w:hAnsi="宋体"/>
          <w:color w:val="auto"/>
          <w:sz w:val="24"/>
          <w:szCs w:val="24"/>
          <w:highlight w:val="none"/>
          <w:lang w:eastAsia="zh-CN"/>
        </w:rPr>
        <w:t>中标供应商</w:t>
      </w:r>
      <w:r>
        <w:rPr>
          <w:rFonts w:hint="eastAsia" w:ascii="宋体" w:hAnsi="宋体"/>
          <w:color w:val="auto"/>
          <w:sz w:val="24"/>
          <w:szCs w:val="24"/>
          <w:highlight w:val="none"/>
        </w:rPr>
        <w:t>不得单方放弃</w:t>
      </w:r>
      <w:r>
        <w:rPr>
          <w:rFonts w:hint="eastAsia" w:ascii="宋体" w:hAnsi="宋体"/>
          <w:color w:val="auto"/>
          <w:sz w:val="24"/>
          <w:szCs w:val="24"/>
          <w:highlight w:val="none"/>
          <w:lang w:eastAsia="zh-CN"/>
        </w:rPr>
        <w:t>中标</w:t>
      </w:r>
      <w:r>
        <w:rPr>
          <w:rFonts w:hint="eastAsia" w:ascii="宋体" w:hAnsi="宋体"/>
          <w:color w:val="auto"/>
          <w:sz w:val="24"/>
          <w:szCs w:val="24"/>
          <w:highlight w:val="none"/>
        </w:rPr>
        <w:t>，因</w:t>
      </w:r>
      <w:r>
        <w:rPr>
          <w:rFonts w:hint="eastAsia" w:ascii="宋体" w:hAnsi="宋体"/>
          <w:color w:val="auto"/>
          <w:sz w:val="24"/>
          <w:szCs w:val="24"/>
          <w:highlight w:val="none"/>
          <w:lang w:eastAsia="zh-CN"/>
        </w:rPr>
        <w:t>中标供应商</w:t>
      </w:r>
      <w:r>
        <w:rPr>
          <w:rFonts w:hint="eastAsia" w:ascii="宋体" w:hAnsi="宋体"/>
          <w:color w:val="auto"/>
          <w:sz w:val="24"/>
          <w:szCs w:val="24"/>
          <w:highlight w:val="none"/>
        </w:rPr>
        <w:t>原因造成采购合同无法按时签订的，视为</w:t>
      </w:r>
      <w:r>
        <w:rPr>
          <w:rFonts w:hint="eastAsia" w:ascii="宋体" w:hAnsi="宋体"/>
          <w:color w:val="auto"/>
          <w:sz w:val="24"/>
          <w:szCs w:val="24"/>
          <w:highlight w:val="none"/>
          <w:lang w:eastAsia="zh-CN"/>
        </w:rPr>
        <w:t>中标供应商</w:t>
      </w:r>
      <w:r>
        <w:rPr>
          <w:rFonts w:hint="eastAsia" w:ascii="宋体" w:hAnsi="宋体"/>
          <w:color w:val="auto"/>
          <w:sz w:val="24"/>
          <w:szCs w:val="24"/>
          <w:highlight w:val="none"/>
        </w:rPr>
        <w:t>违约，使用单位有权追究其相关法律责任（包括但不限于列入使用单位的供应商黑名单、三年内禁止参加使用单位组织的非政府采购项目等）。</w:t>
      </w:r>
    </w:p>
    <w:p w14:paraId="0393411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11</w:t>
      </w:r>
      <w:r>
        <w:rPr>
          <w:rFonts w:hint="eastAsia" w:ascii="宋体" w:hAnsi="宋体"/>
          <w:color w:val="auto"/>
          <w:sz w:val="24"/>
          <w:szCs w:val="24"/>
          <w:highlight w:val="none"/>
        </w:rPr>
        <w:t>.2.在签订采购合同之后，</w:t>
      </w:r>
      <w:r>
        <w:rPr>
          <w:rFonts w:hint="eastAsia" w:ascii="宋体" w:hAnsi="宋体"/>
          <w:color w:val="auto"/>
          <w:sz w:val="24"/>
          <w:szCs w:val="24"/>
          <w:highlight w:val="none"/>
          <w:lang w:eastAsia="zh-CN"/>
        </w:rPr>
        <w:t>中标供应商</w:t>
      </w:r>
      <w:r>
        <w:rPr>
          <w:rFonts w:hint="eastAsia" w:ascii="宋体" w:hAnsi="宋体"/>
          <w:color w:val="auto"/>
          <w:sz w:val="24"/>
          <w:szCs w:val="24"/>
          <w:highlight w:val="none"/>
        </w:rPr>
        <w:t>要求解除合同的，视为</w:t>
      </w:r>
      <w:r>
        <w:rPr>
          <w:rFonts w:hint="eastAsia" w:ascii="宋体" w:hAnsi="宋体"/>
          <w:color w:val="auto"/>
          <w:sz w:val="24"/>
          <w:szCs w:val="24"/>
          <w:highlight w:val="none"/>
          <w:lang w:eastAsia="zh-CN"/>
        </w:rPr>
        <w:t>中标供应商</w:t>
      </w:r>
      <w:r>
        <w:rPr>
          <w:rFonts w:hint="eastAsia" w:ascii="宋体" w:hAnsi="宋体"/>
          <w:color w:val="auto"/>
          <w:sz w:val="24"/>
          <w:szCs w:val="24"/>
          <w:highlight w:val="none"/>
        </w:rPr>
        <w:t>违约，使用单位有权不予退还履约保证金，并追究其相关法律责任（包括但不限于要求其支付合同总价的30%作为违约金或赔偿使用单位因此遭受的全部损失，列入使用单位的供应商黑名单、三年内禁止参加使用单位组织的非政府采购项目等）。</w:t>
      </w:r>
    </w:p>
    <w:p w14:paraId="1ECFBF46">
      <w:pPr>
        <w:tabs>
          <w:tab w:val="left" w:pos="513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color w:val="auto"/>
          <w:sz w:val="24"/>
          <w:szCs w:val="24"/>
          <w:highlight w:val="none"/>
          <w:lang w:val="en-US" w:eastAsia="zh-CN"/>
        </w:rPr>
        <w:t>11</w:t>
      </w:r>
      <w:r>
        <w:rPr>
          <w:rFonts w:hint="eastAsia" w:ascii="宋体" w:hAnsi="宋体"/>
          <w:color w:val="auto"/>
          <w:sz w:val="24"/>
          <w:szCs w:val="24"/>
          <w:highlight w:val="none"/>
        </w:rPr>
        <w:t>.3.如使用单位在供货或合同履行过程中发现</w:t>
      </w:r>
      <w:r>
        <w:rPr>
          <w:rFonts w:hint="eastAsia" w:ascii="宋体" w:hAnsi="宋体"/>
          <w:color w:val="auto"/>
          <w:sz w:val="24"/>
          <w:szCs w:val="24"/>
          <w:highlight w:val="none"/>
          <w:lang w:eastAsia="zh-CN"/>
        </w:rPr>
        <w:t>中标供应商</w:t>
      </w:r>
      <w:r>
        <w:rPr>
          <w:rFonts w:hint="eastAsia" w:ascii="宋体" w:hAnsi="宋体"/>
          <w:color w:val="auto"/>
          <w:sz w:val="24"/>
          <w:szCs w:val="24"/>
          <w:highlight w:val="none"/>
        </w:rPr>
        <w:t>实际提供的产品不符合谈判响应文件的，采购单位有权解除采购合同，要求</w:t>
      </w:r>
      <w:r>
        <w:rPr>
          <w:rFonts w:hint="eastAsia" w:ascii="宋体" w:hAnsi="宋体"/>
          <w:color w:val="auto"/>
          <w:sz w:val="24"/>
          <w:szCs w:val="24"/>
          <w:highlight w:val="none"/>
          <w:lang w:eastAsia="zh-CN"/>
        </w:rPr>
        <w:t>中标供应商</w:t>
      </w:r>
      <w:r>
        <w:rPr>
          <w:rFonts w:hint="eastAsia" w:ascii="宋体" w:hAnsi="宋体"/>
          <w:color w:val="auto"/>
          <w:sz w:val="24"/>
          <w:szCs w:val="24"/>
          <w:highlight w:val="none"/>
        </w:rPr>
        <w:t>退还已收合同价款，不予退还其履约保证金，并追究其相关法律责任（包括但不限于要求其支付合同总价的30%作为违约金或赔偿使用单位因此遭受的全部损失，列入使用单位的供应商黑名单、三年内禁止参加使用单位组织的非政府采购项目等）。</w:t>
      </w:r>
    </w:p>
    <w:p w14:paraId="22594830">
      <w:pPr>
        <w:tabs>
          <w:tab w:val="left" w:pos="5130"/>
        </w:tabs>
        <w:spacing w:line="360" w:lineRule="auto"/>
        <w:ind w:firstLine="480" w:firstLineChars="200"/>
        <w:rPr>
          <w:rFonts w:hint="eastAsia" w:ascii="宋体" w:hAnsi="宋体" w:eastAsia="宋体" w:cs="宋体"/>
          <w:color w:val="auto"/>
          <w:sz w:val="24"/>
          <w:szCs w:val="24"/>
          <w:highlight w:val="none"/>
        </w:rPr>
      </w:pPr>
    </w:p>
    <w:p w14:paraId="385850BE">
      <w:pPr>
        <w:spacing w:line="24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57B131AD">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6A663277">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04E3EB4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45C35545">
      <w:pPr>
        <w:spacing w:line="360" w:lineRule="auto"/>
        <w:rPr>
          <w:rFonts w:hint="eastAsia" w:ascii="宋体" w:hAnsi="宋体" w:eastAsia="宋体" w:cs="宋体"/>
          <w:b/>
          <w:color w:val="auto"/>
          <w:sz w:val="24"/>
          <w:szCs w:val="24"/>
          <w:highlight w:val="none"/>
        </w:rPr>
      </w:pPr>
    </w:p>
    <w:tbl>
      <w:tblPr>
        <w:tblStyle w:val="12"/>
        <w:tblW w:w="102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052"/>
        <w:gridCol w:w="931"/>
        <w:gridCol w:w="1117"/>
        <w:gridCol w:w="775"/>
      </w:tblGrid>
      <w:tr w14:paraId="21A59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28" w:type="dxa"/>
            <w:gridSpan w:val="4"/>
            <w:tcBorders>
              <w:top w:val="single" w:color="auto" w:sz="4" w:space="0"/>
              <w:left w:val="single" w:color="auto" w:sz="4" w:space="0"/>
              <w:bottom w:val="single" w:color="auto" w:sz="4" w:space="0"/>
              <w:right w:val="single" w:color="auto" w:sz="4" w:space="0"/>
            </w:tcBorders>
            <w:noWrap w:val="0"/>
            <w:vAlign w:val="center"/>
          </w:tcPr>
          <w:p w14:paraId="13F0C7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2823" w:type="dxa"/>
            <w:gridSpan w:val="3"/>
            <w:tcBorders>
              <w:top w:val="single" w:color="auto" w:sz="4" w:space="0"/>
              <w:left w:val="single" w:color="auto" w:sz="4" w:space="0"/>
              <w:bottom w:val="single" w:color="auto" w:sz="4" w:space="0"/>
              <w:right w:val="single" w:color="auto" w:sz="4" w:space="0"/>
            </w:tcBorders>
            <w:noWrap w:val="0"/>
            <w:vAlign w:val="center"/>
          </w:tcPr>
          <w:p w14:paraId="0C828B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38F5C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0"/>
            <w:vAlign w:val="center"/>
          </w:tcPr>
          <w:p w14:paraId="04043BB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28E9A4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0E524B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0C0464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5B2DA5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5052" w:type="dxa"/>
            <w:tcBorders>
              <w:top w:val="single" w:color="auto" w:sz="4" w:space="0"/>
              <w:left w:val="single" w:color="auto" w:sz="4" w:space="0"/>
              <w:bottom w:val="single" w:color="auto" w:sz="4" w:space="0"/>
              <w:right w:val="single" w:color="auto" w:sz="4" w:space="0"/>
            </w:tcBorders>
            <w:noWrap w:val="0"/>
            <w:vAlign w:val="center"/>
          </w:tcPr>
          <w:p w14:paraId="2BD597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931" w:type="dxa"/>
            <w:tcBorders>
              <w:top w:val="single" w:color="auto" w:sz="4" w:space="0"/>
              <w:left w:val="single" w:color="auto" w:sz="4" w:space="0"/>
              <w:bottom w:val="single" w:color="auto" w:sz="4" w:space="0"/>
              <w:right w:val="single" w:color="auto" w:sz="4" w:space="0"/>
            </w:tcBorders>
            <w:noWrap w:val="0"/>
            <w:vAlign w:val="center"/>
          </w:tcPr>
          <w:p w14:paraId="00F4CC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117" w:type="dxa"/>
            <w:tcBorders>
              <w:top w:val="single" w:color="auto" w:sz="4" w:space="0"/>
              <w:left w:val="single" w:color="auto" w:sz="4" w:space="0"/>
              <w:bottom w:val="single" w:color="auto" w:sz="4" w:space="0"/>
              <w:right w:val="single" w:color="auto" w:sz="4" w:space="0"/>
            </w:tcBorders>
            <w:noWrap w:val="0"/>
            <w:vAlign w:val="center"/>
          </w:tcPr>
          <w:p w14:paraId="4DD5DF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715D0C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4306F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0"/>
            <w:vAlign w:val="center"/>
          </w:tcPr>
          <w:p w14:paraId="1E552A7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noWrap w:val="0"/>
            <w:vAlign w:val="center"/>
          </w:tcPr>
          <w:p w14:paraId="16736D7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0A62C6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11C2B89B">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251BE3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7285F3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D1EA5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42A1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F6020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0FFA3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EFA46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0136EC12">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0C6A9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598AA8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A9207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D667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3AC783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E5CD9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EB23D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2540021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62503D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296270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3B89E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459A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A43C92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F7279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B3ECF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07B57194">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1A767D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3EA021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C6B98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29F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DBA09B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4BF51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26402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776C3186">
            <w:pPr>
              <w:keepNext w:val="0"/>
              <w:keepLines w:val="0"/>
              <w:suppressLineNumbers w:val="0"/>
              <w:tabs>
                <w:tab w:val="left" w:pos="624"/>
                <w:tab w:val="left" w:pos="2988"/>
                <w:tab w:val="left" w:pos="7849"/>
              </w:tabs>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5C152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5191A3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E6D44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1AB1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A945A9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9A1BD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FCC7A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3EE7734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669DC5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0FFAA4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EA37B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1FEC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F9CA56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BCEC7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6B54E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79E4DD0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716E5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24E790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E4763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521D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D24E6E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DB7C9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72CFCC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59BBAA3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70FEC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09C9F8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E1EF0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D5B4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F1EADC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D6495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CD00C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3B34A77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674C4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0EDB7F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3B350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56C4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C38CCD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544B6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0D02E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6ACB380B">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1EC4B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03E9E2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CEF2F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7367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6B7A1F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F53C5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3F7CB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352D673A">
            <w:pPr>
              <w:keepNext w:val="0"/>
              <w:keepLines w:val="0"/>
              <w:suppressLineNumbers w:val="0"/>
              <w:tabs>
                <w:tab w:val="left" w:pos="992"/>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0C460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44C09B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2CA56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CADB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62198A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CA5C4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85365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0270AC1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B541B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54CFDA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BED7B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FA54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F93C39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3FFB0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5057BC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082B379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36740F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3365B0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4B6B6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213B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704DB6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E7B0B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04CB36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70B01DEB">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86C33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2FD736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F76E7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F00A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6C69EC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EFA74C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CF400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0AFE87A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7CD9FE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7BBAFE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10D11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F20F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EB9AD4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0067B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EC207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5600A20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D75DB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4AC3A3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BD19A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AD3B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39E385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ECEF6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0003B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1B0D0A5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96FD73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55D274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70A60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EB33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CDD4E4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9E691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5114A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799EC7F6">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77D352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4E9408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EEF96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AA95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6E83EF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D313A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0A60BF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0247F80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2BE7A4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56D45A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E221F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7E02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9C76C5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1A7DCD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96EDE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43F00AD7">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277736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798E29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E55A3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0E26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4028F6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1C9BF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4246E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7183121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27CE1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2C3324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5CA87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C135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4A3E16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FC33F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1111F3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7D2DC5D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7D90B9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390669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FFAFD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6CB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0F7910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7DA45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1FB45D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63BD35A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2124BD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497B65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6EB3F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6916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84C92A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AD878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3388F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2C60E70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FA3F4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44AA5D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0C5AF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C446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FEFD7A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B6BB9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05B38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1EBE8A6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288C80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66A3533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70CE5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2F10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563704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744FC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22337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48966F4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43B5F7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2ADADB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9390C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187B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15DCE1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B7F27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76549E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57F86C0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52B32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10D37B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2205F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E3CE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79BD6E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0DEBC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3E369E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6A963F3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6C1A0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2A5134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F9E01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3485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3B9BC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5C477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28858F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7075BB3E">
            <w:pPr>
              <w:keepNext w:val="0"/>
              <w:keepLines w:val="0"/>
              <w:suppressLineNumbers w:val="0"/>
              <w:tabs>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15DD3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1EB008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C5555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E913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A97873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782A5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693CE4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center"/>
          </w:tcPr>
          <w:p w14:paraId="34A4CB8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09FDD6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31DFAC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26E09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D5E3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E5FB5F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34DBF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2FF15D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369D10E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460461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013AFF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69980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9665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169275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D4260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89B0D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487EE12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5D8F8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16E431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616A5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9721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344A62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1A4EC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33F0C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3AFF39B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84941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6FD58C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8928B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373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CAFB83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09FA6B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1053D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0A36A77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58FB50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3E0924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0536C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9461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763EDA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C5D44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075A7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68E0204B">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6910C1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47794BC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3A3CB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287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noWrap w:val="0"/>
            <w:vAlign w:val="center"/>
          </w:tcPr>
          <w:p w14:paraId="78B4726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noWrap w:val="0"/>
            <w:vAlign w:val="center"/>
          </w:tcPr>
          <w:p w14:paraId="31A4AF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229259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2" w:type="dxa"/>
            <w:tcBorders>
              <w:top w:val="single" w:color="auto" w:sz="4" w:space="0"/>
              <w:left w:val="single" w:color="auto" w:sz="4" w:space="0"/>
              <w:bottom w:val="single" w:color="auto" w:sz="4" w:space="0"/>
              <w:right w:val="single" w:color="auto" w:sz="4" w:space="0"/>
            </w:tcBorders>
            <w:noWrap w:val="0"/>
            <w:vAlign w:val="top"/>
          </w:tcPr>
          <w:p w14:paraId="7EBF46CD">
            <w:pPr>
              <w:pStyle w:val="6"/>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31" w:type="dxa"/>
            <w:tcBorders>
              <w:top w:val="single" w:color="auto" w:sz="4" w:space="0"/>
              <w:left w:val="single" w:color="auto" w:sz="4" w:space="0"/>
              <w:bottom w:val="single" w:color="auto" w:sz="4" w:space="0"/>
              <w:right w:val="single" w:color="auto" w:sz="4" w:space="0"/>
            </w:tcBorders>
            <w:noWrap w:val="0"/>
            <w:vAlign w:val="center"/>
          </w:tcPr>
          <w:p w14:paraId="39E42E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3C41E2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CBA75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65B30165">
      <w:pPr>
        <w:tabs>
          <w:tab w:val="left" w:pos="5130"/>
        </w:tabs>
        <w:spacing w:line="360" w:lineRule="auto"/>
        <w:ind w:firstLine="480" w:firstLineChars="200"/>
        <w:rPr>
          <w:rFonts w:hint="eastAsia" w:ascii="宋体" w:hAnsi="宋体" w:eastAsia="宋体" w:cs="宋体"/>
          <w:color w:val="auto"/>
          <w:sz w:val="24"/>
          <w:szCs w:val="24"/>
          <w:highlight w:val="none"/>
        </w:rPr>
      </w:pPr>
    </w:p>
    <w:p w14:paraId="3E1B3E93">
      <w:pPr>
        <w:tabs>
          <w:tab w:val="left" w:pos="5130"/>
        </w:tabs>
        <w:spacing w:line="360" w:lineRule="auto"/>
        <w:ind w:firstLine="480" w:firstLineChars="200"/>
        <w:rPr>
          <w:rFonts w:hint="eastAsia" w:ascii="宋体" w:hAnsi="宋体" w:eastAsia="宋体" w:cs="宋体"/>
          <w:color w:val="auto"/>
          <w:sz w:val="24"/>
          <w:szCs w:val="24"/>
          <w:highlight w:val="none"/>
        </w:rPr>
      </w:pPr>
    </w:p>
    <w:p w14:paraId="36FB1B1B">
      <w:pPr>
        <w:spacing w:line="360" w:lineRule="auto"/>
        <w:rPr>
          <w:rFonts w:hint="eastAsia" w:ascii="宋体" w:hAnsi="宋体" w:eastAsia="宋体" w:cs="宋体"/>
          <w:color w:val="auto"/>
          <w:sz w:val="24"/>
          <w:szCs w:val="24"/>
          <w:highlight w:val="none"/>
        </w:rPr>
      </w:pPr>
    </w:p>
    <w:p w14:paraId="3564B1DC">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2B94701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2"/>
        <w:tblW w:w="8717"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7"/>
      </w:tblGrid>
      <w:tr w14:paraId="50FDA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717" w:type="dxa"/>
            <w:noWrap w:val="0"/>
            <w:vAlign w:val="top"/>
          </w:tcPr>
          <w:p w14:paraId="362074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0B4915B5">
            <w:pPr>
              <w:keepNext w:val="0"/>
              <w:keepLines w:val="0"/>
              <w:suppressLineNumbers w:val="0"/>
              <w:spacing w:before="0" w:beforeAutospacing="0" w:after="0" w:afterAutospacing="0" w:line="360" w:lineRule="auto"/>
              <w:ind w:left="0" w:right="0" w:firstLine="720" w:firstLineChars="300"/>
              <w:rPr>
                <w:rFonts w:hint="default" w:ascii="宋体" w:hAnsi="宋体" w:cs="宋体"/>
                <w:b/>
                <w:color w:val="auto"/>
                <w:sz w:val="24"/>
                <w:szCs w:val="24"/>
                <w:highlight w:val="none"/>
              </w:rPr>
            </w:pPr>
            <w:r>
              <w:rPr>
                <w:rFonts w:hint="eastAsia" w:ascii="宋体" w:hAnsi="宋体" w:cs="宋体"/>
                <w:color w:val="auto"/>
                <w:sz w:val="24"/>
                <w:szCs w:val="24"/>
                <w:highlight w:val="none"/>
              </w:rPr>
              <w:t>本合同为本项目招标文件的重要组成部分。投标人对合同条款的任何负偏离将导致投标无效。</w:t>
            </w:r>
          </w:p>
          <w:p w14:paraId="3C3C7503">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若中标供应商的投标文件对合同条款的响应优于本合同条款的，以投标文件内容为准。</w:t>
            </w:r>
          </w:p>
        </w:tc>
      </w:tr>
    </w:tbl>
    <w:p w14:paraId="0AF9E9C2">
      <w:pPr>
        <w:spacing w:line="360" w:lineRule="auto"/>
        <w:ind w:left="1321"/>
        <w:jc w:val="center"/>
        <w:rPr>
          <w:rFonts w:ascii="宋体" w:hAnsi="宋体" w:cs="宋体"/>
          <w:b/>
          <w:bCs/>
          <w:color w:val="auto"/>
          <w:sz w:val="24"/>
          <w:szCs w:val="24"/>
          <w:highlight w:val="none"/>
        </w:rPr>
      </w:pPr>
      <w:bookmarkStart w:id="5" w:name="htmc"/>
      <w:bookmarkEnd w:id="5"/>
      <w:r>
        <w:rPr>
          <w:rFonts w:ascii="Calibri" w:hAnsi="Calibri"/>
          <w:b/>
          <w:bCs/>
          <w:color w:val="auto"/>
          <w:szCs w:val="21"/>
          <w:highlight w:val="none"/>
        </w:rPr>
        <w:t xml:space="preserve"> </w:t>
      </w:r>
      <w:r>
        <w:rPr>
          <w:rFonts w:hint="eastAsia" w:ascii="宋体" w:hAnsi="宋体" w:cs="宋体"/>
          <w:b/>
          <w:bCs/>
          <w:color w:val="auto"/>
          <w:sz w:val="24"/>
          <w:szCs w:val="24"/>
          <w:highlight w:val="none"/>
        </w:rPr>
        <w:t>XM2025—</w:t>
      </w:r>
      <w:r>
        <w:rPr>
          <w:rFonts w:hint="eastAsia" w:ascii="宋体" w:hAnsi="宋体" w:cs="宋体"/>
          <w:b/>
          <w:bCs/>
          <w:color w:val="auto"/>
          <w:sz w:val="24"/>
          <w:szCs w:val="24"/>
          <w:highlight w:val="none"/>
          <w:lang w:eastAsia="zh-CN"/>
        </w:rPr>
        <w:t>DZ0042</w:t>
      </w:r>
      <w:r>
        <w:rPr>
          <w:rFonts w:hint="eastAsia" w:ascii="宋体" w:hAnsi="宋体" w:cs="宋体"/>
          <w:b/>
          <w:bCs/>
          <w:color w:val="auto"/>
          <w:sz w:val="24"/>
          <w:szCs w:val="24"/>
          <w:highlight w:val="none"/>
        </w:rPr>
        <w:t>采购合同</w:t>
      </w:r>
    </w:p>
    <w:p w14:paraId="7DFA399F">
      <w:pPr>
        <w:spacing w:line="360" w:lineRule="auto"/>
        <w:ind w:right="480"/>
        <w:jc w:val="center"/>
        <w:rPr>
          <w:rFonts w:ascii="宋体" w:hAnsi="宋体" w:cs="宋体"/>
          <w:color w:val="auto"/>
          <w:sz w:val="24"/>
          <w:szCs w:val="24"/>
          <w:highlight w:val="none"/>
        </w:rPr>
      </w:pPr>
    </w:p>
    <w:p w14:paraId="41645193">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194F19F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买方（采购单位）：厦门万翔网络商务有限公司            签订地点：厦门</w:t>
      </w:r>
    </w:p>
    <w:p w14:paraId="28F59D7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卖方（</w:t>
      </w:r>
      <w:r>
        <w:rPr>
          <w:rFonts w:hint="eastAsia" w:ascii="宋体" w:hAnsi="宋体" w:cs="宋体"/>
          <w:color w:val="auto"/>
          <w:sz w:val="24"/>
          <w:szCs w:val="24"/>
          <w:highlight w:val="none"/>
          <w:lang w:eastAsia="zh-CN"/>
        </w:rPr>
        <w:t>中标供应商</w:t>
      </w:r>
      <w:r>
        <w:rPr>
          <w:rFonts w:hint="eastAsia" w:ascii="宋体" w:hAnsi="宋体" w:cs="宋体"/>
          <w:color w:val="auto"/>
          <w:sz w:val="24"/>
          <w:szCs w:val="24"/>
          <w:highlight w:val="none"/>
        </w:rPr>
        <w:t xml:space="preserve">）：                                  </w:t>
      </w:r>
    </w:p>
    <w:p w14:paraId="4B413323">
      <w:pPr>
        <w:spacing w:line="360" w:lineRule="auto"/>
        <w:ind w:right="480"/>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14:paraId="12072863">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根据买方对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进行采购（招标/项目编号：      ）的采购结果，现依照</w:t>
      </w:r>
      <w:r>
        <w:rPr>
          <w:rFonts w:hint="eastAsia" w:ascii="宋体" w:hAnsi="宋体" w:cs="宋体"/>
          <w:color w:val="auto"/>
          <w:sz w:val="24"/>
          <w:szCs w:val="24"/>
          <w:highlight w:val="none"/>
          <w:lang w:val="en-US" w:eastAsia="zh-CN"/>
        </w:rPr>
        <w:t>招标</w:t>
      </w:r>
      <w:r>
        <w:rPr>
          <w:rFonts w:hint="eastAsia" w:ascii="宋体" w:hAnsi="宋体" w:cs="宋体"/>
          <w:color w:val="auto"/>
          <w:sz w:val="24"/>
          <w:szCs w:val="24"/>
          <w:highlight w:val="none"/>
        </w:rPr>
        <w:t>文件、</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文件及有关法律、法规、规章规定的内容，双方达成如下协议：</w:t>
      </w:r>
    </w:p>
    <w:p w14:paraId="29C7C92D">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1、合同标的物和合同价格：</w:t>
      </w:r>
    </w:p>
    <w:tbl>
      <w:tblPr>
        <w:tblStyle w:val="12"/>
        <w:tblW w:w="8866" w:type="dxa"/>
        <w:tblInd w:w="103" w:type="dxa"/>
        <w:tblLayout w:type="autofit"/>
        <w:tblCellMar>
          <w:top w:w="0" w:type="dxa"/>
          <w:left w:w="108" w:type="dxa"/>
          <w:bottom w:w="0" w:type="dxa"/>
          <w:right w:w="108" w:type="dxa"/>
        </w:tblCellMar>
      </w:tblPr>
      <w:tblGrid>
        <w:gridCol w:w="1565"/>
        <w:gridCol w:w="2205"/>
        <w:gridCol w:w="1881"/>
        <w:gridCol w:w="1894"/>
        <w:gridCol w:w="1321"/>
      </w:tblGrid>
      <w:tr w14:paraId="19211DB5">
        <w:tblPrEx>
          <w:tblCellMar>
            <w:top w:w="0" w:type="dxa"/>
            <w:left w:w="108" w:type="dxa"/>
            <w:bottom w:w="0" w:type="dxa"/>
            <w:right w:w="108" w:type="dxa"/>
          </w:tblCellMar>
        </w:tblPrEx>
        <w:trPr>
          <w:trHeight w:val="615" w:hRule="atLeast"/>
        </w:trPr>
        <w:tc>
          <w:tcPr>
            <w:tcW w:w="1565" w:type="dxa"/>
            <w:tcBorders>
              <w:top w:val="single" w:color="auto" w:sz="4" w:space="0"/>
              <w:left w:val="single" w:color="auto" w:sz="4" w:space="0"/>
              <w:bottom w:val="single" w:color="auto" w:sz="4" w:space="0"/>
              <w:right w:val="single" w:color="auto" w:sz="4" w:space="0"/>
            </w:tcBorders>
            <w:vAlign w:val="center"/>
          </w:tcPr>
          <w:p w14:paraId="441CB122">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05" w:type="dxa"/>
            <w:tcBorders>
              <w:top w:val="single" w:color="auto" w:sz="4" w:space="0"/>
              <w:left w:val="nil"/>
              <w:bottom w:val="single" w:color="auto" w:sz="4" w:space="0"/>
              <w:right w:val="single" w:color="auto" w:sz="4" w:space="0"/>
            </w:tcBorders>
            <w:vAlign w:val="center"/>
          </w:tcPr>
          <w:p w14:paraId="7FDB967E">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81" w:type="dxa"/>
            <w:tcBorders>
              <w:top w:val="single" w:color="auto" w:sz="4" w:space="0"/>
              <w:left w:val="nil"/>
              <w:bottom w:val="single" w:color="auto" w:sz="4" w:space="0"/>
              <w:right w:val="single" w:color="auto" w:sz="4" w:space="0"/>
            </w:tcBorders>
            <w:vAlign w:val="center"/>
          </w:tcPr>
          <w:p w14:paraId="099F0FF1">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94" w:type="dxa"/>
            <w:tcBorders>
              <w:top w:val="single" w:color="auto" w:sz="4" w:space="0"/>
              <w:left w:val="nil"/>
              <w:bottom w:val="single" w:color="auto" w:sz="4" w:space="0"/>
              <w:right w:val="single" w:color="auto" w:sz="4" w:space="0"/>
            </w:tcBorders>
            <w:vAlign w:val="center"/>
          </w:tcPr>
          <w:p w14:paraId="633CD5D3">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321" w:type="dxa"/>
            <w:tcBorders>
              <w:top w:val="single" w:color="auto" w:sz="4" w:space="0"/>
              <w:left w:val="nil"/>
              <w:bottom w:val="single" w:color="auto" w:sz="4" w:space="0"/>
              <w:right w:val="single" w:color="auto" w:sz="4" w:space="0"/>
            </w:tcBorders>
            <w:vAlign w:val="center"/>
          </w:tcPr>
          <w:p w14:paraId="3A8CD10F">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合同总价，金额（元）</w:t>
            </w:r>
          </w:p>
        </w:tc>
      </w:tr>
      <w:tr w14:paraId="662DC260">
        <w:tblPrEx>
          <w:tblCellMar>
            <w:top w:w="0" w:type="dxa"/>
            <w:left w:w="108" w:type="dxa"/>
            <w:bottom w:w="0" w:type="dxa"/>
            <w:right w:w="108" w:type="dxa"/>
          </w:tblCellMar>
        </w:tblPrEx>
        <w:trPr>
          <w:trHeight w:val="559" w:hRule="atLeast"/>
        </w:trPr>
        <w:tc>
          <w:tcPr>
            <w:tcW w:w="1565" w:type="dxa"/>
            <w:tcBorders>
              <w:top w:val="nil"/>
              <w:left w:val="single" w:color="auto" w:sz="4" w:space="0"/>
              <w:bottom w:val="nil"/>
              <w:right w:val="single" w:color="auto" w:sz="4" w:space="0"/>
            </w:tcBorders>
            <w:vAlign w:val="center"/>
          </w:tcPr>
          <w:p w14:paraId="24780E6A">
            <w:pPr>
              <w:keepNext w:val="0"/>
              <w:keepLines w:val="0"/>
              <w:widowControl/>
              <w:suppressLineNumbers w:val="0"/>
              <w:spacing w:before="0" w:beforeAutospacing="0" w:after="0" w:afterAutospacing="0" w:line="360" w:lineRule="auto"/>
              <w:ind w:left="0" w:right="0" w:firstLine="480" w:firstLineChars="200"/>
              <w:jc w:val="left"/>
              <w:rPr>
                <w:rFonts w:hint="default" w:ascii="宋体" w:hAnsi="宋体" w:cs="宋体"/>
                <w:color w:val="auto"/>
                <w:kern w:val="0"/>
                <w:sz w:val="24"/>
                <w:szCs w:val="24"/>
                <w:highlight w:val="none"/>
              </w:rPr>
            </w:pPr>
          </w:p>
        </w:tc>
        <w:tc>
          <w:tcPr>
            <w:tcW w:w="2205" w:type="dxa"/>
            <w:tcBorders>
              <w:top w:val="nil"/>
              <w:left w:val="nil"/>
              <w:bottom w:val="single" w:color="auto" w:sz="4" w:space="0"/>
              <w:right w:val="single" w:color="auto" w:sz="4" w:space="0"/>
            </w:tcBorders>
            <w:vAlign w:val="center"/>
          </w:tcPr>
          <w:p w14:paraId="701BE77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1881" w:type="dxa"/>
            <w:tcBorders>
              <w:top w:val="nil"/>
              <w:left w:val="single" w:color="auto" w:sz="4" w:space="0"/>
              <w:bottom w:val="single" w:color="auto" w:sz="4" w:space="0"/>
              <w:right w:val="single" w:color="auto" w:sz="4" w:space="0"/>
            </w:tcBorders>
            <w:vAlign w:val="center"/>
          </w:tcPr>
          <w:p w14:paraId="52CC753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1894" w:type="dxa"/>
            <w:tcBorders>
              <w:top w:val="nil"/>
              <w:left w:val="nil"/>
              <w:bottom w:val="single" w:color="auto" w:sz="4" w:space="0"/>
              <w:right w:val="single" w:color="auto" w:sz="4" w:space="0"/>
            </w:tcBorders>
            <w:vAlign w:val="center"/>
          </w:tcPr>
          <w:p w14:paraId="1952D8B6">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sz w:val="24"/>
                <w:szCs w:val="24"/>
                <w:highlight w:val="none"/>
              </w:rPr>
              <w:t>1批（详见附件</w:t>
            </w:r>
            <w:r>
              <w:rPr>
                <w:rFonts w:hint="default" w:ascii="宋体" w:hAnsi="宋体" w:cs="宋体"/>
                <w:color w:val="auto"/>
                <w:sz w:val="24"/>
                <w:szCs w:val="24"/>
                <w:highlight w:val="none"/>
              </w:rPr>
              <w:t>1《</w:t>
            </w:r>
            <w:r>
              <w:rPr>
                <w:rFonts w:hint="eastAsia" w:ascii="宋体" w:hAnsi="宋体" w:cs="宋体"/>
                <w:color w:val="auto"/>
                <w:sz w:val="24"/>
                <w:szCs w:val="24"/>
                <w:highlight w:val="none"/>
              </w:rPr>
              <w:t>供货清单</w:t>
            </w:r>
            <w:r>
              <w:rPr>
                <w:rFonts w:hint="default" w:ascii="宋体" w:hAnsi="宋体" w:cs="宋体"/>
                <w:color w:val="auto"/>
                <w:sz w:val="24"/>
                <w:szCs w:val="24"/>
                <w:highlight w:val="none"/>
              </w:rPr>
              <w:t>》</w:t>
            </w:r>
            <w:r>
              <w:rPr>
                <w:rFonts w:hint="eastAsia" w:ascii="宋体" w:hAnsi="宋体" w:cs="宋体"/>
                <w:color w:val="auto"/>
                <w:sz w:val="24"/>
                <w:szCs w:val="24"/>
                <w:highlight w:val="none"/>
              </w:rPr>
              <w:t>）</w:t>
            </w:r>
          </w:p>
        </w:tc>
        <w:tc>
          <w:tcPr>
            <w:tcW w:w="1321" w:type="dxa"/>
            <w:tcBorders>
              <w:top w:val="nil"/>
              <w:left w:val="nil"/>
              <w:bottom w:val="single" w:color="auto" w:sz="4" w:space="0"/>
              <w:right w:val="single" w:color="auto" w:sz="4" w:space="0"/>
            </w:tcBorders>
            <w:vAlign w:val="center"/>
          </w:tcPr>
          <w:p w14:paraId="3F857B3C">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sz w:val="24"/>
                <w:szCs w:val="24"/>
                <w:highlight w:val="none"/>
              </w:rPr>
              <w:t>￥</w:t>
            </w:r>
          </w:p>
        </w:tc>
      </w:tr>
      <w:tr w14:paraId="773E5972">
        <w:tblPrEx>
          <w:tblCellMar>
            <w:top w:w="0" w:type="dxa"/>
            <w:left w:w="108" w:type="dxa"/>
            <w:bottom w:w="0" w:type="dxa"/>
            <w:right w:w="108" w:type="dxa"/>
          </w:tblCellMar>
        </w:tblPrEx>
        <w:trPr>
          <w:trHeight w:val="540" w:hRule="atLeast"/>
        </w:trPr>
        <w:tc>
          <w:tcPr>
            <w:tcW w:w="8866" w:type="dxa"/>
            <w:gridSpan w:val="5"/>
            <w:tcBorders>
              <w:top w:val="single" w:color="auto" w:sz="4" w:space="0"/>
              <w:left w:val="single" w:color="auto" w:sz="4" w:space="0"/>
              <w:bottom w:val="single" w:color="auto" w:sz="4" w:space="0"/>
              <w:right w:val="single" w:color="000000" w:sz="4" w:space="0"/>
            </w:tcBorders>
            <w:vAlign w:val="center"/>
          </w:tcPr>
          <w:p w14:paraId="2BED5DE2">
            <w:pPr>
              <w:keepNext w:val="0"/>
              <w:keepLines w:val="0"/>
              <w:widowControl/>
              <w:suppressLineNumbers w:val="0"/>
              <w:tabs>
                <w:tab w:val="left" w:pos="0"/>
              </w:tabs>
              <w:adjustRightInd w:val="0"/>
              <w:spacing w:before="0" w:beforeAutospacing="0" w:after="0" w:afterAutospacing="0" w:line="360" w:lineRule="auto"/>
              <w:ind w:left="0" w:right="0" w:firstLine="482" w:firstLineChars="200"/>
              <w:rPr>
                <w:rFonts w:hint="default" w:ascii="宋体" w:hAnsi="宋体" w:cs="宋体"/>
                <w:bCs/>
                <w:color w:val="auto"/>
                <w:sz w:val="24"/>
                <w:szCs w:val="24"/>
                <w:highlight w:val="none"/>
              </w:rPr>
            </w:pPr>
            <w:r>
              <w:rPr>
                <w:rFonts w:hint="eastAsia" w:ascii="宋体" w:hAnsi="宋体" w:cs="宋体"/>
                <w:b/>
                <w:bCs/>
                <w:color w:val="auto"/>
                <w:kern w:val="0"/>
                <w:sz w:val="24"/>
                <w:szCs w:val="24"/>
                <w:highlight w:val="none"/>
              </w:rPr>
              <w:t xml:space="preserve">中标总价：     </w:t>
            </w:r>
            <w:r>
              <w:rPr>
                <w:rFonts w:hint="eastAsia" w:ascii="宋体" w:hAnsi="宋体" w:cs="宋体"/>
                <w:b/>
                <w:color w:val="auto"/>
                <w:sz w:val="24"/>
                <w:szCs w:val="24"/>
                <w:highlight w:val="none"/>
              </w:rPr>
              <w:t xml:space="preserve">￥元（   </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货物验收后的维修等售后服务由卖方直接向使用单位提供，卖方应按照采购文件的货物售后服务条款为使用单位进行服务，买方不向使用单位承担售后服务义务。</w:t>
            </w:r>
          </w:p>
        </w:tc>
      </w:tr>
      <w:tr w14:paraId="42E545F4">
        <w:tblPrEx>
          <w:tblCellMar>
            <w:top w:w="0" w:type="dxa"/>
            <w:left w:w="108" w:type="dxa"/>
            <w:bottom w:w="0" w:type="dxa"/>
            <w:right w:w="108" w:type="dxa"/>
          </w:tblCellMar>
        </w:tblPrEx>
        <w:trPr>
          <w:trHeight w:val="780" w:hRule="atLeast"/>
        </w:trPr>
        <w:tc>
          <w:tcPr>
            <w:tcW w:w="8866" w:type="dxa"/>
            <w:gridSpan w:val="5"/>
            <w:tcBorders>
              <w:top w:val="single" w:color="auto" w:sz="4" w:space="0"/>
              <w:left w:val="single" w:color="auto" w:sz="4" w:space="0"/>
              <w:bottom w:val="single" w:color="auto" w:sz="4" w:space="0"/>
              <w:right w:val="single" w:color="auto" w:sz="4" w:space="0"/>
            </w:tcBorders>
            <w:vAlign w:val="center"/>
          </w:tcPr>
          <w:p w14:paraId="585E18E4">
            <w:pPr>
              <w:keepNext w:val="0"/>
              <w:keepLines w:val="0"/>
              <w:widowControl/>
              <w:suppressLineNumbers w:val="0"/>
              <w:spacing w:before="0" w:beforeAutospacing="0" w:after="0" w:afterAutospacing="0" w:line="360" w:lineRule="auto"/>
              <w:ind w:left="0" w:right="0"/>
              <w:jc w:val="left"/>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 xml:space="preserve">备注说明： 本项目使用单位（最终用户）：                  </w:t>
            </w:r>
            <w:r>
              <w:rPr>
                <w:rFonts w:hint="eastAsia" w:ascii="宋体" w:hAnsi="宋体" w:cs="宋体"/>
                <w:b/>
                <w:color w:val="auto"/>
                <w:sz w:val="24"/>
                <w:szCs w:val="24"/>
                <w:highlight w:val="none"/>
                <w:u w:val="single"/>
              </w:rPr>
              <w:t>。</w:t>
            </w:r>
          </w:p>
        </w:tc>
      </w:tr>
    </w:tbl>
    <w:p w14:paraId="2CD7E165">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6B560C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2.1交货方式：卖方负责送货到交货地点完成安装，并承担运输过程中发生的一切费用及风险。</w:t>
      </w:r>
    </w:p>
    <w:p w14:paraId="2DA029D7">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2.2交货地点：使用单位指定地点。</w:t>
      </w:r>
    </w:p>
    <w:p w14:paraId="15FF9F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2.3交付使用期: </w:t>
      </w:r>
      <w:r>
        <w:rPr>
          <w:rFonts w:hint="eastAsia" w:ascii="宋体" w:hAnsi="宋体"/>
          <w:bCs/>
          <w:color w:val="auto"/>
          <w:sz w:val="24"/>
          <w:szCs w:val="24"/>
          <w:highlight w:val="none"/>
        </w:rPr>
        <w:t>合同签订后，</w:t>
      </w:r>
      <w:r>
        <w:rPr>
          <w:rFonts w:hint="eastAsia" w:ascii="宋体" w:hAnsi="宋体"/>
          <w:bCs/>
          <w:color w:val="auto"/>
          <w:sz w:val="24"/>
          <w:szCs w:val="24"/>
          <w:highlight w:val="none"/>
          <w:lang w:val="en-US" w:eastAsia="zh-CN"/>
        </w:rPr>
        <w:t>中标</w:t>
      </w:r>
      <w:r>
        <w:rPr>
          <w:rFonts w:hint="eastAsia" w:ascii="宋体" w:hAnsi="宋体"/>
          <w:bCs/>
          <w:color w:val="auto"/>
          <w:sz w:val="24"/>
          <w:szCs w:val="24"/>
          <w:highlight w:val="none"/>
        </w:rPr>
        <w:t>供货商收到使用单位通知，</w:t>
      </w:r>
      <w:r>
        <w:rPr>
          <w:rFonts w:hint="eastAsia" w:ascii="宋体" w:hAnsi="宋体" w:cs="宋体"/>
          <w:color w:val="auto"/>
          <w:sz w:val="24"/>
          <w:szCs w:val="24"/>
          <w:highlight w:val="none"/>
          <w:u w:val="single"/>
        </w:rPr>
        <w:t xml:space="preserve">    </w:t>
      </w:r>
      <w:r>
        <w:rPr>
          <w:rFonts w:hint="eastAsia" w:ascii="宋体" w:hAnsi="宋体"/>
          <w:bCs/>
          <w:color w:val="auto"/>
          <w:sz w:val="24"/>
          <w:szCs w:val="24"/>
          <w:highlight w:val="none"/>
        </w:rPr>
        <w:t>天内交货、安装调试完成并提交使用单位验收。</w:t>
      </w:r>
    </w:p>
    <w:p w14:paraId="606B6B9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2.4到货签收：卖方每批次供货到指定地点后，卖方应当组织</w:t>
      </w:r>
      <w:r>
        <w:rPr>
          <w:rFonts w:hint="eastAsia" w:ascii="宋体" w:hAnsi="宋体" w:cs="宋体"/>
          <w:color w:val="auto"/>
          <w:sz w:val="24"/>
          <w:szCs w:val="24"/>
          <w:highlight w:val="none"/>
          <w:lang w:eastAsia="zh-CN"/>
        </w:rPr>
        <w:t>使用单位</w:t>
      </w:r>
      <w:r>
        <w:rPr>
          <w:rFonts w:hint="eastAsia" w:ascii="宋体" w:hAnsi="宋体" w:cs="宋体"/>
          <w:color w:val="auto"/>
          <w:sz w:val="24"/>
          <w:szCs w:val="24"/>
          <w:highlight w:val="none"/>
        </w:rPr>
        <w:t>对到货数量、型号等进行清点签收，并向买方提交</w:t>
      </w:r>
      <w:r>
        <w:rPr>
          <w:rFonts w:hint="eastAsia" w:ascii="宋体" w:hAnsi="宋体" w:cs="宋体"/>
          <w:color w:val="auto"/>
          <w:sz w:val="24"/>
          <w:szCs w:val="24"/>
          <w:highlight w:val="none"/>
          <w:lang w:eastAsia="zh-CN"/>
        </w:rPr>
        <w:t>使用单位</w:t>
      </w:r>
      <w:r>
        <w:rPr>
          <w:rFonts w:hint="eastAsia" w:ascii="宋体" w:hAnsi="宋体" w:cs="宋体"/>
          <w:color w:val="auto"/>
          <w:sz w:val="24"/>
          <w:szCs w:val="24"/>
          <w:highlight w:val="none"/>
        </w:rPr>
        <w:t>签署的到货签收单原件。</w:t>
      </w:r>
    </w:p>
    <w:p w14:paraId="60635F99">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3、采购清单：</w:t>
      </w:r>
      <w:r>
        <w:rPr>
          <w:rFonts w:hint="eastAsia" w:ascii="宋体" w:hAnsi="宋体" w:cs="宋体"/>
          <w:b w:val="0"/>
          <w:bCs/>
          <w:color w:val="auto"/>
          <w:sz w:val="24"/>
          <w:szCs w:val="24"/>
          <w:highlight w:val="none"/>
          <w:lang w:val="en-US" w:eastAsia="zh-CN"/>
        </w:rPr>
        <w:t>详见附件1“供货清单”。</w:t>
      </w:r>
      <w:r>
        <w:rPr>
          <w:rFonts w:hint="eastAsia" w:ascii="宋体" w:hAnsi="宋体" w:cs="宋体"/>
          <w:b/>
          <w:color w:val="auto"/>
          <w:sz w:val="24"/>
          <w:szCs w:val="24"/>
          <w:highlight w:val="none"/>
        </w:rPr>
        <w:t xml:space="preserve"> </w:t>
      </w:r>
    </w:p>
    <w:p w14:paraId="41A573D3">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4、履约保证金及付款条件、方式</w:t>
      </w:r>
    </w:p>
    <w:p w14:paraId="3688C418">
      <w:pPr>
        <w:pStyle w:val="5"/>
        <w:spacing w:line="360" w:lineRule="auto"/>
        <w:ind w:firstLine="482" w:firstLineChars="200"/>
        <w:rPr>
          <w:rFonts w:hAnsi="宋体" w:cs="宋体"/>
          <w:color w:val="auto"/>
          <w:sz w:val="24"/>
          <w:szCs w:val="24"/>
          <w:highlight w:val="none"/>
        </w:rPr>
      </w:pPr>
      <w:r>
        <w:rPr>
          <w:rFonts w:hAnsi="宋体" w:cs="宋体"/>
          <w:b/>
          <w:color w:val="auto"/>
          <w:sz w:val="24"/>
          <w:szCs w:val="24"/>
          <w:highlight w:val="none"/>
        </w:rPr>
        <w:t>4.1</w:t>
      </w:r>
      <w:r>
        <w:rPr>
          <w:rFonts w:hint="eastAsia"/>
          <w:b/>
          <w:bCs/>
          <w:color w:val="auto"/>
          <w:sz w:val="24"/>
          <w:highlight w:val="none"/>
        </w:rPr>
        <w:t>履约保证金：合同签订后</w:t>
      </w:r>
      <w:r>
        <w:rPr>
          <w:rFonts w:hint="eastAsia"/>
          <w:b/>
          <w:bCs/>
          <w:color w:val="auto"/>
          <w:sz w:val="24"/>
          <w:highlight w:val="none"/>
          <w:lang w:val="en-US" w:eastAsia="zh-CN"/>
        </w:rPr>
        <w:t>7</w:t>
      </w:r>
      <w:r>
        <w:rPr>
          <w:rFonts w:hint="eastAsia"/>
          <w:b/>
          <w:bCs/>
          <w:color w:val="auto"/>
          <w:sz w:val="24"/>
          <w:highlight w:val="none"/>
        </w:rPr>
        <w:t>个工作日内，卖方向买方交纳合同总价3%的履约保证金（若所有采购标的均为中小企业（含个体工商户）制造的货物，或者监狱企业提供本单位制造的货物；或者残疾人福利性单位提供本单位制造的货物（或提供其他残疾人福利性单位制造的货物），则卖方需缴纳的履约保证金按约定比例的50%支付），履约保证金提交形式：可采用现金转账或非现金形式的保函形式提交。在合同履约完毕（质保期满）且无合同纠纷后</w:t>
      </w:r>
      <w:r>
        <w:rPr>
          <w:rFonts w:hint="eastAsia"/>
          <w:b/>
          <w:bCs/>
          <w:color w:val="auto"/>
          <w:sz w:val="24"/>
          <w:highlight w:val="none"/>
          <w:lang w:val="en-US" w:eastAsia="zh-CN"/>
        </w:rPr>
        <w:t>7</w:t>
      </w:r>
      <w:r>
        <w:rPr>
          <w:rFonts w:hint="eastAsia"/>
          <w:b/>
          <w:bCs/>
          <w:color w:val="auto"/>
          <w:sz w:val="24"/>
          <w:highlight w:val="none"/>
        </w:rPr>
        <w:t>个工作日内，买方以转账方式或者退还保函形式无息退还。卖方未交纳履约保证金的，买方有权拒绝付款。因卖方违约造成本合同解除的，履约保证金不予退还。</w:t>
      </w:r>
    </w:p>
    <w:p w14:paraId="2822949D">
      <w:pPr>
        <w:pStyle w:val="5"/>
        <w:spacing w:line="360" w:lineRule="auto"/>
        <w:ind w:firstLine="482" w:firstLineChars="200"/>
        <w:rPr>
          <w:rFonts w:hAnsi="宋体" w:cs="宋体"/>
          <w:b/>
          <w:color w:val="auto"/>
          <w:sz w:val="24"/>
          <w:szCs w:val="24"/>
          <w:highlight w:val="none"/>
        </w:rPr>
      </w:pPr>
      <w:r>
        <w:rPr>
          <w:rFonts w:hAnsi="宋体" w:cs="宋体"/>
          <w:b/>
          <w:color w:val="auto"/>
          <w:sz w:val="24"/>
          <w:szCs w:val="24"/>
          <w:highlight w:val="none"/>
        </w:rPr>
        <w:t>4.2</w:t>
      </w:r>
      <w:r>
        <w:rPr>
          <w:rFonts w:hint="eastAsia" w:hAnsi="宋体" w:cs="宋体"/>
          <w:b/>
          <w:color w:val="auto"/>
          <w:sz w:val="24"/>
          <w:szCs w:val="24"/>
          <w:highlight w:val="none"/>
        </w:rPr>
        <w:t>付款条件</w:t>
      </w:r>
    </w:p>
    <w:p w14:paraId="5AED4E2A">
      <w:pPr>
        <w:pStyle w:val="5"/>
        <w:spacing w:line="360" w:lineRule="auto"/>
        <w:ind w:firstLine="482" w:firstLineChars="200"/>
        <w:rPr>
          <w:rFonts w:hAnsi="宋体" w:cs="宋体"/>
          <w:b/>
          <w:color w:val="auto"/>
          <w:sz w:val="24"/>
          <w:szCs w:val="24"/>
          <w:highlight w:val="none"/>
        </w:rPr>
      </w:pPr>
      <w:r>
        <w:rPr>
          <w:rFonts w:hint="eastAsia" w:hAnsi="宋体" w:cs="宋体"/>
          <w:b/>
          <w:color w:val="auto"/>
          <w:sz w:val="24"/>
          <w:szCs w:val="24"/>
          <w:highlight w:val="none"/>
        </w:rPr>
        <w:t>卖方同意，待买方收到使用单位</w:t>
      </w:r>
      <w:r>
        <w:rPr>
          <w:rFonts w:hAnsi="宋体" w:cs="宋体"/>
          <w:b/>
          <w:color w:val="auto"/>
          <w:sz w:val="24"/>
          <w:szCs w:val="24"/>
          <w:highlight w:val="none"/>
        </w:rPr>
        <w:t>足额</w:t>
      </w:r>
      <w:r>
        <w:rPr>
          <w:rFonts w:hint="eastAsia" w:hAnsi="宋体" w:cs="宋体"/>
          <w:b/>
          <w:color w:val="auto"/>
          <w:sz w:val="24"/>
          <w:szCs w:val="24"/>
          <w:highlight w:val="none"/>
        </w:rPr>
        <w:t>货款后，买方按</w:t>
      </w:r>
      <w:r>
        <w:rPr>
          <w:rFonts w:hAnsi="宋体" w:cs="宋体"/>
          <w:b/>
          <w:color w:val="auto"/>
          <w:sz w:val="24"/>
          <w:szCs w:val="24"/>
          <w:highlight w:val="none"/>
        </w:rPr>
        <w:t>4.3</w:t>
      </w:r>
      <w:r>
        <w:rPr>
          <w:rFonts w:hint="eastAsia" w:hAnsi="宋体" w:cs="宋体"/>
          <w:b/>
          <w:color w:val="auto"/>
          <w:sz w:val="24"/>
          <w:szCs w:val="24"/>
          <w:highlight w:val="none"/>
        </w:rPr>
        <w:t>约定向卖方付款。</w:t>
      </w:r>
    </w:p>
    <w:p w14:paraId="5A222201">
      <w:pPr>
        <w:tabs>
          <w:tab w:val="left" w:pos="5130"/>
        </w:tabs>
        <w:spacing w:line="360" w:lineRule="auto"/>
        <w:ind w:firstLine="482" w:firstLineChars="200"/>
        <w:rPr>
          <w:rFonts w:hint="eastAsia" w:ascii="宋体" w:hAnsi="宋体" w:cs="宋体"/>
          <w:b/>
          <w:color w:val="auto"/>
          <w:sz w:val="24"/>
          <w:szCs w:val="24"/>
          <w:highlight w:val="none"/>
        </w:rPr>
      </w:pPr>
      <w:r>
        <w:rPr>
          <w:rFonts w:ascii="宋体" w:hAnsi="宋体" w:cs="宋体"/>
          <w:b/>
          <w:color w:val="auto"/>
          <w:sz w:val="24"/>
          <w:szCs w:val="24"/>
          <w:highlight w:val="none"/>
        </w:rPr>
        <w:t>4.3</w:t>
      </w:r>
      <w:r>
        <w:rPr>
          <w:rFonts w:hint="eastAsia" w:ascii="宋体" w:hAnsi="宋体" w:cs="宋体"/>
          <w:b/>
          <w:color w:val="auto"/>
          <w:sz w:val="24"/>
          <w:szCs w:val="24"/>
          <w:highlight w:val="none"/>
        </w:rPr>
        <w:t>付款方式</w:t>
      </w:r>
    </w:p>
    <w:p w14:paraId="72F603B5">
      <w:pPr>
        <w:spacing w:line="360" w:lineRule="auto"/>
        <w:ind w:firstLine="482" w:firstLineChars="200"/>
        <w:rPr>
          <w:rFonts w:ascii="宋体"/>
          <w:b/>
          <w:bCs/>
          <w:color w:val="auto"/>
          <w:sz w:val="24"/>
          <w:highlight w:val="none"/>
        </w:rPr>
      </w:pPr>
      <w:r>
        <w:rPr>
          <w:rFonts w:hint="eastAsia" w:ascii="宋体"/>
          <w:b/>
          <w:bCs/>
          <w:color w:val="auto"/>
          <w:sz w:val="24"/>
          <w:highlight w:val="none"/>
        </w:rPr>
        <w:t>4.3.1合同签订完毕接使用单位通知后，且卖方开具合同总价</w:t>
      </w:r>
      <w:r>
        <w:rPr>
          <w:rFonts w:hint="eastAsia" w:ascii="宋体"/>
          <w:b/>
          <w:bCs/>
          <w:color w:val="auto"/>
          <w:sz w:val="24"/>
          <w:highlight w:val="none"/>
          <w:lang w:val="en-US" w:eastAsia="zh-CN"/>
        </w:rPr>
        <w:t>3</w:t>
      </w:r>
      <w:r>
        <w:rPr>
          <w:rFonts w:hint="eastAsia" w:ascii="宋体"/>
          <w:b/>
          <w:bCs/>
          <w:color w:val="auto"/>
          <w:sz w:val="24"/>
          <w:highlight w:val="none"/>
        </w:rPr>
        <w:t>0%的</w:t>
      </w:r>
      <w:r>
        <w:rPr>
          <w:rFonts w:hint="eastAsia" w:ascii="宋体" w:hAnsi="宋体" w:cs="宋体"/>
          <w:b/>
          <w:color w:val="auto"/>
          <w:sz w:val="24"/>
          <w:szCs w:val="24"/>
          <w:highlight w:val="none"/>
        </w:rPr>
        <w:t>等额增值税</w:t>
      </w:r>
      <w:r>
        <w:rPr>
          <w:rFonts w:hint="eastAsia" w:ascii="宋体"/>
          <w:b/>
          <w:bCs/>
          <w:color w:val="auto"/>
          <w:sz w:val="24"/>
          <w:highlight w:val="none"/>
        </w:rPr>
        <w:t>正规发票后</w:t>
      </w:r>
      <w:r>
        <w:rPr>
          <w:rFonts w:hint="eastAsia" w:ascii="宋体"/>
          <w:b/>
          <w:bCs/>
          <w:color w:val="auto"/>
          <w:sz w:val="24"/>
          <w:highlight w:val="none"/>
          <w:lang w:val="en-US" w:eastAsia="zh-CN"/>
        </w:rPr>
        <w:t>7</w:t>
      </w:r>
      <w:r>
        <w:rPr>
          <w:rFonts w:hint="eastAsia" w:ascii="宋体"/>
          <w:b/>
          <w:bCs/>
          <w:color w:val="auto"/>
          <w:sz w:val="24"/>
          <w:highlight w:val="none"/>
        </w:rPr>
        <w:t>个工作日内，买方向卖方支付合同总价</w:t>
      </w:r>
      <w:r>
        <w:rPr>
          <w:rFonts w:hint="eastAsia" w:ascii="宋体"/>
          <w:b/>
          <w:bCs/>
          <w:color w:val="auto"/>
          <w:sz w:val="24"/>
          <w:highlight w:val="none"/>
          <w:lang w:val="en-US" w:eastAsia="zh-CN"/>
        </w:rPr>
        <w:t>3</w:t>
      </w:r>
      <w:r>
        <w:rPr>
          <w:rFonts w:hint="eastAsia" w:ascii="宋体"/>
          <w:b/>
          <w:bCs/>
          <w:color w:val="auto"/>
          <w:sz w:val="24"/>
          <w:highlight w:val="none"/>
        </w:rPr>
        <w:t>0%的预付款。</w:t>
      </w:r>
    </w:p>
    <w:p w14:paraId="53BC75EA">
      <w:pPr>
        <w:spacing w:line="360" w:lineRule="auto"/>
        <w:ind w:firstLine="482" w:firstLineChars="200"/>
        <w:rPr>
          <w:rFonts w:ascii="宋体"/>
          <w:b/>
          <w:bCs/>
          <w:color w:val="auto"/>
          <w:sz w:val="24"/>
          <w:highlight w:val="none"/>
        </w:rPr>
      </w:pPr>
      <w:r>
        <w:rPr>
          <w:rFonts w:hint="eastAsia" w:ascii="宋体"/>
          <w:b/>
          <w:bCs/>
          <w:color w:val="auto"/>
          <w:sz w:val="24"/>
          <w:highlight w:val="none"/>
        </w:rPr>
        <w:t>4.3.2卖方供货安装、调试完毕，使用单位验收合格后，且卖方开具合同总价</w:t>
      </w:r>
      <w:r>
        <w:rPr>
          <w:rFonts w:hint="eastAsia" w:ascii="宋体"/>
          <w:b/>
          <w:bCs/>
          <w:color w:val="auto"/>
          <w:sz w:val="24"/>
          <w:highlight w:val="none"/>
          <w:lang w:val="en-US" w:eastAsia="zh-CN"/>
        </w:rPr>
        <w:t>7</w:t>
      </w:r>
      <w:r>
        <w:rPr>
          <w:rFonts w:hint="eastAsia" w:ascii="宋体"/>
          <w:b/>
          <w:bCs/>
          <w:color w:val="auto"/>
          <w:sz w:val="24"/>
          <w:highlight w:val="none"/>
        </w:rPr>
        <w:t>0%的</w:t>
      </w:r>
      <w:r>
        <w:rPr>
          <w:rFonts w:hint="eastAsia" w:ascii="宋体" w:hAnsi="宋体" w:cs="宋体"/>
          <w:b/>
          <w:color w:val="auto"/>
          <w:sz w:val="24"/>
          <w:szCs w:val="24"/>
          <w:highlight w:val="none"/>
        </w:rPr>
        <w:t>等额增值税</w:t>
      </w:r>
      <w:r>
        <w:rPr>
          <w:rFonts w:hint="eastAsia" w:ascii="宋体"/>
          <w:b/>
          <w:bCs/>
          <w:color w:val="auto"/>
          <w:sz w:val="24"/>
          <w:highlight w:val="none"/>
        </w:rPr>
        <w:t>正规发票和全部货物清单给买方后，买方在</w:t>
      </w:r>
      <w:r>
        <w:rPr>
          <w:rFonts w:hint="eastAsia" w:ascii="宋体"/>
          <w:b/>
          <w:bCs/>
          <w:color w:val="auto"/>
          <w:sz w:val="24"/>
          <w:highlight w:val="none"/>
          <w:lang w:val="en-US" w:eastAsia="zh-CN"/>
        </w:rPr>
        <w:t>7</w:t>
      </w:r>
      <w:r>
        <w:rPr>
          <w:rFonts w:hint="eastAsia" w:ascii="宋体"/>
          <w:b/>
          <w:bCs/>
          <w:color w:val="auto"/>
          <w:sz w:val="24"/>
          <w:highlight w:val="none"/>
        </w:rPr>
        <w:t>个工作日内支付合同总价</w:t>
      </w:r>
      <w:r>
        <w:rPr>
          <w:rFonts w:hint="eastAsia" w:ascii="宋体"/>
          <w:b/>
          <w:bCs/>
          <w:color w:val="auto"/>
          <w:sz w:val="24"/>
          <w:highlight w:val="none"/>
          <w:lang w:val="en-US" w:eastAsia="zh-CN"/>
        </w:rPr>
        <w:t>7</w:t>
      </w:r>
      <w:r>
        <w:rPr>
          <w:rFonts w:hint="eastAsia" w:ascii="宋体"/>
          <w:b/>
          <w:bCs/>
          <w:color w:val="auto"/>
          <w:sz w:val="24"/>
          <w:highlight w:val="none"/>
        </w:rPr>
        <w:t>0%的款项。</w:t>
      </w:r>
    </w:p>
    <w:p w14:paraId="05A26F1C">
      <w:pPr>
        <w:spacing w:line="360" w:lineRule="auto"/>
        <w:ind w:firstLine="482" w:firstLineChars="200"/>
        <w:rPr>
          <w:rFonts w:ascii="宋体"/>
          <w:b/>
          <w:bCs/>
          <w:color w:val="auto"/>
          <w:sz w:val="24"/>
          <w:highlight w:val="none"/>
        </w:rPr>
      </w:pPr>
      <w:r>
        <w:rPr>
          <w:rFonts w:hint="eastAsia" w:ascii="宋体"/>
          <w:b/>
          <w:bCs/>
          <w:color w:val="auto"/>
          <w:sz w:val="24"/>
          <w:highlight w:val="none"/>
        </w:rPr>
        <w:t>4.3.3付款时需具备以下材料：</w:t>
      </w:r>
    </w:p>
    <w:p w14:paraId="2CCEEA43">
      <w:pPr>
        <w:spacing w:line="360" w:lineRule="auto"/>
        <w:ind w:firstLine="482" w:firstLineChars="200"/>
        <w:rPr>
          <w:rFonts w:ascii="宋体"/>
          <w:b/>
          <w:bCs/>
          <w:color w:val="auto"/>
          <w:sz w:val="24"/>
          <w:highlight w:val="none"/>
        </w:rPr>
      </w:pPr>
      <w:r>
        <w:rPr>
          <w:rFonts w:hint="eastAsia" w:ascii="宋体"/>
          <w:b/>
          <w:bCs/>
          <w:color w:val="auto"/>
          <w:sz w:val="24"/>
          <w:highlight w:val="none"/>
        </w:rPr>
        <w:t>（1）一般纳税人增值税专用发票（需附货物清单）。</w:t>
      </w:r>
    </w:p>
    <w:p w14:paraId="7EFE0BA7">
      <w:pPr>
        <w:spacing w:line="360" w:lineRule="auto"/>
        <w:ind w:firstLine="482" w:firstLineChars="200"/>
        <w:rPr>
          <w:rFonts w:ascii="宋体"/>
          <w:b/>
          <w:bCs/>
          <w:color w:val="auto"/>
          <w:sz w:val="24"/>
          <w:highlight w:val="none"/>
        </w:rPr>
      </w:pPr>
      <w:r>
        <w:rPr>
          <w:rFonts w:hint="eastAsia" w:ascii="宋体"/>
          <w:b/>
          <w:bCs/>
          <w:color w:val="auto"/>
          <w:sz w:val="24"/>
          <w:highlight w:val="none"/>
        </w:rPr>
        <w:t>（2）使用单位签署的《</w:t>
      </w:r>
      <w:r>
        <w:rPr>
          <w:rFonts w:ascii="宋体" w:hAnsi="宋体" w:cs="宋体"/>
          <w:b/>
          <w:color w:val="auto"/>
          <w:sz w:val="24"/>
          <w:szCs w:val="24"/>
          <w:highlight w:val="none"/>
        </w:rPr>
        <w:t>厦门市大宗货物政府采购供货验收单</w:t>
      </w:r>
      <w:r>
        <w:rPr>
          <w:rFonts w:hint="eastAsia" w:ascii="宋体"/>
          <w:b/>
          <w:bCs/>
          <w:color w:val="auto"/>
          <w:sz w:val="24"/>
          <w:highlight w:val="none"/>
        </w:rPr>
        <w:t>》</w:t>
      </w:r>
      <w:r>
        <w:rPr>
          <w:rFonts w:ascii="宋体" w:hAnsi="宋体" w:cs="宋体"/>
          <w:b/>
          <w:color w:val="auto"/>
          <w:sz w:val="24"/>
          <w:szCs w:val="24"/>
          <w:highlight w:val="none"/>
        </w:rPr>
        <w:t>（附件2）</w:t>
      </w:r>
      <w:r>
        <w:rPr>
          <w:rFonts w:hint="eastAsia" w:ascii="宋体"/>
          <w:b/>
          <w:bCs/>
          <w:color w:val="auto"/>
          <w:sz w:val="24"/>
          <w:highlight w:val="none"/>
        </w:rPr>
        <w:t>。</w:t>
      </w:r>
    </w:p>
    <w:p w14:paraId="0D95F9DE">
      <w:pPr>
        <w:spacing w:line="360" w:lineRule="auto"/>
        <w:ind w:firstLine="482" w:firstLineChars="200"/>
        <w:rPr>
          <w:rFonts w:ascii="宋体"/>
          <w:b/>
          <w:bCs/>
          <w:color w:val="auto"/>
          <w:sz w:val="24"/>
          <w:highlight w:val="none"/>
        </w:rPr>
      </w:pPr>
      <w:r>
        <w:rPr>
          <w:rFonts w:hint="eastAsia" w:ascii="宋体"/>
          <w:b/>
          <w:bCs/>
          <w:color w:val="auto"/>
          <w:sz w:val="24"/>
          <w:highlight w:val="none"/>
        </w:rPr>
        <w:t>（3）制造厂家出具的货物质量合格证书。</w:t>
      </w:r>
    </w:p>
    <w:p w14:paraId="3BD85153">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5、技术资料：</w:t>
      </w:r>
    </w:p>
    <w:p w14:paraId="0541248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5.1卖方应在交付使用时向使用单位提供配套资料1套。</w:t>
      </w:r>
    </w:p>
    <w:p w14:paraId="518320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5.2卖方在交货时应向使用单位提供货物的相关手续，包括品牌证书、装箱清单含货物的主附件、原产地证明书、品质保证书、出厂检验报告、合格证书、使用及维护说明书等。</w:t>
      </w:r>
    </w:p>
    <w:p w14:paraId="5F1050EC">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6、验收</w:t>
      </w:r>
    </w:p>
    <w:p w14:paraId="0B4DB43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6.1合同货物到达交货地点且卖方完成安装工作后，买卖双方同意，合同货物由使用单位验收并以使用单位的验收意见为准。合同货物安装后经使用单位验收合格视为最终验收合格。</w:t>
      </w:r>
    </w:p>
    <w:p w14:paraId="0FABDB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6.2合同货物验收时，由使用单位签署《</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r>
        <w:rPr>
          <w:rFonts w:ascii="宋体" w:hAnsi="宋体" w:cs="宋体"/>
          <w:color w:val="auto"/>
          <w:sz w:val="24"/>
          <w:szCs w:val="24"/>
          <w:highlight w:val="none"/>
        </w:rPr>
        <w:t>（附件2）</w:t>
      </w:r>
      <w:r>
        <w:rPr>
          <w:rFonts w:hint="eastAsia" w:ascii="宋体" w:hAnsi="宋体" w:cs="宋体"/>
          <w:color w:val="auto"/>
          <w:sz w:val="24"/>
          <w:szCs w:val="24"/>
          <w:highlight w:val="none"/>
        </w:rPr>
        <w:t>。</w:t>
      </w:r>
    </w:p>
    <w:p w14:paraId="3D6EAE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6.3卖方应派代表参与验收过程，卖方未派代表参与或对验收意见有异议但未在验收完成后3个工作日内书面提出的，视为卖方对验收意见无异议。</w:t>
      </w:r>
    </w:p>
    <w:p w14:paraId="12609EA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6.4最终验收合格后，卖方应在使用单位要求的时间内直接交付使用单位使用。合同货物交付使用前由卖方负责保管，合同货物的毁损或灭失风险由卖方承担。</w:t>
      </w:r>
    </w:p>
    <w:p w14:paraId="5485EB1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6.5买方根据本合同约定提出换货、退货或解除合同的，卖方应在收到买方或使用单位通知后3个工作日内自行收回不符合合同约定的货物，并承担相应费用。</w:t>
      </w:r>
    </w:p>
    <w:p w14:paraId="5770A5A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7、售后服务</w:t>
      </w:r>
    </w:p>
    <w:p w14:paraId="48C3F8A6">
      <w:pPr>
        <w:tabs>
          <w:tab w:val="left" w:pos="0"/>
        </w:tabs>
        <w:adjustRightIn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货物验收后的维修等售后服务由卖方直接向使用单位提供，卖方应按照采购文件的货物售后服务条款为使用单位进行服务，买方不向使用单位承担售后服务义务。</w:t>
      </w:r>
    </w:p>
    <w:p w14:paraId="790E7392">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8、知识产权</w:t>
      </w:r>
    </w:p>
    <w:p w14:paraId="4BF7DD8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卖方保证使用单位在使用该货物或其任何一部分时不受到第三方关于侵犯专利权、商标权或著作权等知识产权的指控。如果任何第三方提出侵权指控，则与买方、使用单位无关，卖方须自行与第三方交涉并承担可能发生的责任与一切费用。如买方因此而遭致损失的，卖方应赔偿该损失。</w:t>
      </w:r>
    </w:p>
    <w:p w14:paraId="50CAFA4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9、违约责任</w:t>
      </w:r>
    </w:p>
    <w:p w14:paraId="797CD96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9.1卖方未能按时交货或未能按时交付使用的，每逾期一日，卖方应支付逾期交货货款1‰的违约金。逾期超过10个日历日，买方有权单方解除本合同，卖方应另外支付合同总价20％的违约金。</w:t>
      </w:r>
    </w:p>
    <w:p w14:paraId="30A18A2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9.2合同货物验收不合格的，买方有权选择解除合同或换货。如买方选择换货，卖方重新供货导致的交货期延迟的，按9.1条处理；若买方选择单方解除合同的，卖方支付合同总价20%的违约金。</w:t>
      </w:r>
    </w:p>
    <w:p w14:paraId="0183595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w:t>
      </w:r>
      <w:r>
        <w:rPr>
          <w:rFonts w:hint="eastAsia" w:ascii="宋体" w:hAnsi="宋体" w:cs="宋体"/>
          <w:bCs/>
          <w:color w:val="auto"/>
          <w:kern w:val="0"/>
          <w:sz w:val="24"/>
          <w:szCs w:val="24"/>
          <w:highlight w:val="none"/>
        </w:rPr>
        <w:t>卖方应保证提供原产、正宗品牌货物，不得用伪劣货物替代。否则，如</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53AB6611">
      <w:pPr>
        <w:spacing w:line="360" w:lineRule="auto"/>
        <w:ind w:firstLine="480" w:firstLineChars="200"/>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9.4在生产过程或验收过程中发现卖方对中标货物进行分包、转包，买方有权单方解除合同并有权拒付全部货款。</w:t>
      </w:r>
    </w:p>
    <w:p w14:paraId="353FFD51">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kern w:val="0"/>
          <w:sz w:val="24"/>
          <w:szCs w:val="24"/>
          <w:highlight w:val="none"/>
        </w:rPr>
        <w:t>9.5卖方有虚报各项技术指标等</w:t>
      </w:r>
      <w:r>
        <w:rPr>
          <w:rFonts w:hint="eastAsia" w:ascii="宋体" w:hAnsi="宋体" w:cs="宋体"/>
          <w:color w:val="auto"/>
          <w:sz w:val="24"/>
          <w:szCs w:val="24"/>
          <w:highlight w:val="none"/>
        </w:rPr>
        <w:t>弄虚作假、隐瞒事实内容等情形</w:t>
      </w:r>
      <w:r>
        <w:rPr>
          <w:rFonts w:hint="eastAsia" w:ascii="宋体" w:hAnsi="宋体" w:cs="宋体"/>
          <w:bCs/>
          <w:color w:val="auto"/>
          <w:kern w:val="0"/>
          <w:sz w:val="24"/>
          <w:szCs w:val="24"/>
          <w:highlight w:val="none"/>
        </w:rPr>
        <w:t>，</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38DF6F9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9.6因卖方原因导致退换货的，卖方应承担退换货所需的一切费用。如卖方未在规定时间内收回不合格货物，买方不对上述货物的灭失或损坏承担任何责任。如卖方</w:t>
      </w:r>
      <w:r>
        <w:rPr>
          <w:rFonts w:hint="default" w:ascii="宋体" w:hAnsi="宋体" w:cs="宋体"/>
          <w:color w:val="auto"/>
          <w:sz w:val="24"/>
          <w:szCs w:val="24"/>
          <w:highlight w:val="none"/>
          <w:lang w:val="en-US"/>
        </w:rPr>
        <w:t>逾期超过20</w:t>
      </w:r>
      <w:r>
        <w:rPr>
          <w:rFonts w:hint="eastAsia" w:ascii="宋体" w:hAnsi="宋体" w:cs="宋体"/>
          <w:color w:val="auto"/>
          <w:sz w:val="24"/>
          <w:szCs w:val="24"/>
          <w:highlight w:val="none"/>
        </w:rPr>
        <w:t>个日历日仍未收回的，买方有权自行处理上述货物。</w:t>
      </w:r>
    </w:p>
    <w:p w14:paraId="2E69807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9.7除本合同另有约定外，在买方发出的违约通知后30天内仍未纠正其任何一种违约行为，买方有权单方解除本合同，卖方除应退还买方已支付的款项外，还应向买方支付合同总价20％的违约金。</w:t>
      </w:r>
    </w:p>
    <w:p w14:paraId="19D7A22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9.8本合同约定的违约金无法弥补买方损失的，卖方应继续承担相应的赔偿责任。买方有权直接从未付的款项中扣除卖方根据本合同约定应付未付的违约金、赔偿金等。</w:t>
      </w:r>
    </w:p>
    <w:p w14:paraId="723DE072">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10、不可抗力</w:t>
      </w:r>
    </w:p>
    <w:p w14:paraId="4003D58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485842C6">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4AAD06EA">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10.3当事人一方因不可抗力的原因不能履行合同的，应及时通知对方，以减轻可能给对方造成的损失，并应当在合理期限内提供证明。</w:t>
      </w:r>
    </w:p>
    <w:p w14:paraId="573DEB17">
      <w:pPr>
        <w:spacing w:line="360" w:lineRule="auto"/>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11、合同纠纷处理方式</w:t>
      </w:r>
    </w:p>
    <w:p w14:paraId="5D9646E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ascii="宋体" w:hAnsi="宋体" w:cs="宋体"/>
          <w:color w:val="auto"/>
          <w:sz w:val="24"/>
          <w:szCs w:val="24"/>
          <w:highlight w:val="none"/>
        </w:rPr>
        <w:t>合同履行</w:t>
      </w:r>
      <w:r>
        <w:rPr>
          <w:rFonts w:hint="eastAsia" w:ascii="宋体" w:hAnsi="宋体" w:cs="宋体"/>
          <w:color w:val="auto"/>
          <w:sz w:val="24"/>
          <w:szCs w:val="24"/>
          <w:highlight w:val="none"/>
        </w:rPr>
        <w:t>地</w:t>
      </w:r>
      <w:r>
        <w:rPr>
          <w:rFonts w:ascii="宋体" w:hAnsi="宋体" w:cs="宋体"/>
          <w:color w:val="auto"/>
          <w:sz w:val="24"/>
          <w:szCs w:val="24"/>
          <w:highlight w:val="none"/>
        </w:rPr>
        <w:t>（交货地）</w:t>
      </w:r>
      <w:r>
        <w:rPr>
          <w:rFonts w:hint="eastAsia" w:ascii="宋体" w:hAnsi="宋体" w:cs="宋体"/>
          <w:color w:val="auto"/>
          <w:sz w:val="24"/>
          <w:szCs w:val="24"/>
          <w:highlight w:val="none"/>
        </w:rPr>
        <w:t>人民法院提起诉讼。</w:t>
      </w:r>
    </w:p>
    <w:p w14:paraId="6D3B8B01">
      <w:pPr>
        <w:spacing w:line="360" w:lineRule="auto"/>
        <w:rPr>
          <w:rFonts w:ascii="宋体" w:hAnsi="宋体" w:cs="宋体"/>
          <w:b/>
          <w:bCs/>
          <w:color w:val="auto"/>
          <w:kern w:val="0"/>
          <w:sz w:val="24"/>
          <w:szCs w:val="24"/>
          <w:highlight w:val="none"/>
        </w:rPr>
      </w:pPr>
      <w:r>
        <w:rPr>
          <w:rFonts w:hint="eastAsia" w:ascii="宋体" w:hAnsi="宋体" w:cs="宋体"/>
          <w:b/>
          <w:color w:val="auto"/>
          <w:sz w:val="24"/>
          <w:szCs w:val="24"/>
          <w:highlight w:val="none"/>
        </w:rPr>
        <w:t>12、</w:t>
      </w:r>
      <w:r>
        <w:rPr>
          <w:rFonts w:hint="eastAsia" w:ascii="宋体" w:hAnsi="宋体" w:cs="宋体"/>
          <w:b/>
          <w:bCs/>
          <w:color w:val="auto"/>
          <w:kern w:val="0"/>
          <w:sz w:val="24"/>
          <w:szCs w:val="24"/>
          <w:highlight w:val="none"/>
        </w:rPr>
        <w:t>其他约定</w:t>
      </w:r>
    </w:p>
    <w:p w14:paraId="12B97DCE">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12.1本合同未尽事宜，买卖双方另行补充。</w:t>
      </w:r>
    </w:p>
    <w:p w14:paraId="675E1B1F">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12.2卖方同意，由卖方</w:t>
      </w:r>
      <w:r>
        <w:rPr>
          <w:rFonts w:hint="eastAsia" w:ascii="宋体" w:hAnsi="宋体" w:cs="宋体"/>
          <w:bCs/>
          <w:color w:val="auto"/>
          <w:kern w:val="0"/>
          <w:sz w:val="24"/>
          <w:szCs w:val="24"/>
          <w:highlight w:val="none"/>
        </w:rPr>
        <w:t>依据与</w:t>
      </w:r>
      <w:r>
        <w:rPr>
          <w:rFonts w:hint="eastAsia" w:ascii="宋体" w:hAnsi="宋体" w:cs="宋体"/>
          <w:bCs/>
          <w:color w:val="auto"/>
          <w:kern w:val="0"/>
          <w:sz w:val="24"/>
          <w:szCs w:val="24"/>
          <w:highlight w:val="none"/>
          <w:lang w:eastAsia="zh-CN"/>
        </w:rPr>
        <w:t>使用单位</w:t>
      </w:r>
      <w:r>
        <w:rPr>
          <w:rFonts w:hint="eastAsia" w:ascii="宋体" w:hAnsi="宋体" w:cs="宋体"/>
          <w:bCs/>
          <w:color w:val="auto"/>
          <w:kern w:val="0"/>
          <w:sz w:val="24"/>
          <w:szCs w:val="24"/>
          <w:highlight w:val="none"/>
        </w:rPr>
        <w:t>的服务协议直接向</w:t>
      </w:r>
      <w:r>
        <w:rPr>
          <w:rFonts w:hint="eastAsia" w:ascii="宋体" w:hAnsi="宋体" w:cs="宋体"/>
          <w:bCs/>
          <w:color w:val="auto"/>
          <w:kern w:val="0"/>
          <w:sz w:val="24"/>
          <w:szCs w:val="24"/>
          <w:highlight w:val="none"/>
          <w:lang w:eastAsia="zh-CN"/>
        </w:rPr>
        <w:t>使用单位</w:t>
      </w:r>
      <w:r>
        <w:rPr>
          <w:rFonts w:hint="eastAsia" w:ascii="宋体" w:hAnsi="宋体" w:cs="宋体"/>
          <w:bCs/>
          <w:color w:val="auto"/>
          <w:kern w:val="0"/>
          <w:sz w:val="24"/>
          <w:szCs w:val="24"/>
          <w:highlight w:val="none"/>
        </w:rPr>
        <w:t>履行保修等售后服务义务。</w:t>
      </w:r>
    </w:p>
    <w:p w14:paraId="4EFEA97B">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12.3本项目的下述文件均为本合同不可分割的一部分，且应当互为解释；存在不一致时，应按下列顺序优先解释：</w:t>
      </w:r>
    </w:p>
    <w:p w14:paraId="70F3150B">
      <w:pPr>
        <w:widowControl/>
        <w:spacing w:line="360" w:lineRule="auto"/>
        <w:ind w:firstLine="600" w:firstLineChars="25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（1）采购合同</w:t>
      </w:r>
      <w:r>
        <w:rPr>
          <w:rFonts w:hint="eastAsia" w:ascii="宋体" w:hAnsi="宋体" w:cs="宋体"/>
          <w:color w:val="auto"/>
          <w:sz w:val="24"/>
          <w:szCs w:val="24"/>
          <w:highlight w:val="none"/>
          <w:lang w:eastAsia="zh-CN"/>
        </w:rPr>
        <w:t>；</w:t>
      </w:r>
    </w:p>
    <w:p w14:paraId="313B7F10">
      <w:pPr>
        <w:widowControl/>
        <w:spacing w:line="360" w:lineRule="auto"/>
        <w:ind w:firstLine="600" w:firstLineChars="25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（2）买卖合同</w:t>
      </w:r>
      <w:r>
        <w:rPr>
          <w:rFonts w:hint="eastAsia" w:ascii="宋体" w:hAnsi="宋体" w:cs="宋体"/>
          <w:color w:val="auto"/>
          <w:sz w:val="24"/>
          <w:szCs w:val="24"/>
          <w:highlight w:val="none"/>
          <w:lang w:eastAsia="zh-CN"/>
        </w:rPr>
        <w:t>；</w:t>
      </w:r>
    </w:p>
    <w:p w14:paraId="4511BE5B">
      <w:pPr>
        <w:widowControl/>
        <w:spacing w:line="360" w:lineRule="auto"/>
        <w:ind w:firstLine="600" w:firstLineChars="25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（3）招标文件及补充规定</w:t>
      </w:r>
      <w:r>
        <w:rPr>
          <w:rFonts w:hint="eastAsia" w:ascii="宋体" w:hAnsi="宋体" w:cs="宋体"/>
          <w:color w:val="auto"/>
          <w:sz w:val="24"/>
          <w:szCs w:val="24"/>
          <w:highlight w:val="none"/>
          <w:lang w:eastAsia="zh-CN"/>
        </w:rPr>
        <w:t>；</w:t>
      </w:r>
    </w:p>
    <w:p w14:paraId="5C5DA69F">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（4）投标文件及澄清说明。</w:t>
      </w:r>
    </w:p>
    <w:p w14:paraId="1EE61CB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12.4本合同经双方签订之日起生效。一式伍份，买方贰份，卖方贰份，送厦门市财政局政府采购监管处备案壹份，具有同等法律效力。</w:t>
      </w:r>
    </w:p>
    <w:p w14:paraId="30BFDE7D">
      <w:pPr>
        <w:spacing w:line="360" w:lineRule="auto"/>
        <w:jc w:val="center"/>
        <w:rPr>
          <w:rFonts w:ascii="宋体" w:hAnsi="宋体"/>
          <w:color w:val="auto"/>
          <w:sz w:val="24"/>
          <w:szCs w:val="24"/>
          <w:highlight w:val="none"/>
        </w:rPr>
      </w:pPr>
      <w:r>
        <w:rPr>
          <w:rFonts w:hint="eastAsia" w:ascii="宋体" w:hAnsi="宋体" w:cs="宋体"/>
          <w:color w:val="auto"/>
          <w:sz w:val="24"/>
          <w:szCs w:val="24"/>
          <w:highlight w:val="none"/>
        </w:rPr>
        <w:t>（以下无正文）</w:t>
      </w:r>
    </w:p>
    <w:tbl>
      <w:tblPr>
        <w:tblStyle w:val="12"/>
        <w:tblW w:w="4998" w:type="pct"/>
        <w:jc w:val="center"/>
        <w:tblLayout w:type="autofit"/>
        <w:tblCellMar>
          <w:top w:w="0" w:type="dxa"/>
          <w:left w:w="108" w:type="dxa"/>
          <w:bottom w:w="0" w:type="dxa"/>
          <w:right w:w="108" w:type="dxa"/>
        </w:tblCellMar>
      </w:tblPr>
      <w:tblGrid>
        <w:gridCol w:w="1314"/>
        <w:gridCol w:w="2845"/>
        <w:gridCol w:w="1353"/>
        <w:gridCol w:w="3007"/>
      </w:tblGrid>
      <w:tr w14:paraId="5880507E">
        <w:tblPrEx>
          <w:tblCellMar>
            <w:top w:w="0" w:type="dxa"/>
            <w:left w:w="108" w:type="dxa"/>
            <w:bottom w:w="0" w:type="dxa"/>
            <w:right w:w="108" w:type="dxa"/>
          </w:tblCellMar>
        </w:tblPrEx>
        <w:trPr>
          <w:trHeight w:val="438"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0C44889C">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买   方</w:t>
            </w:r>
          </w:p>
        </w:tc>
        <w:tc>
          <w:tcPr>
            <w:tcW w:w="1669" w:type="pct"/>
            <w:tcBorders>
              <w:top w:val="single" w:color="auto" w:sz="4" w:space="0"/>
              <w:left w:val="nil"/>
              <w:bottom w:val="single" w:color="auto" w:sz="4" w:space="0"/>
              <w:right w:val="single" w:color="auto" w:sz="4" w:space="0"/>
            </w:tcBorders>
            <w:vAlign w:val="center"/>
          </w:tcPr>
          <w:p w14:paraId="46BC307A">
            <w:pPr>
              <w:pStyle w:val="9"/>
              <w:keepNext w:val="0"/>
              <w:keepLines w:val="0"/>
              <w:suppressLineNumbers w:val="0"/>
              <w:snapToGrid w:val="0"/>
              <w:ind w:left="0" w:right="0"/>
              <w:rPr>
                <w:rFonts w:hint="default"/>
                <w:color w:val="auto"/>
                <w:highlight w:val="none"/>
              </w:rPr>
            </w:pPr>
            <w:r>
              <w:rPr>
                <w:rFonts w:hint="eastAsia"/>
                <w:color w:val="auto"/>
                <w:highlight w:val="none"/>
              </w:rPr>
              <w:t>厦门万翔网络商务有限公司</w:t>
            </w:r>
          </w:p>
        </w:tc>
        <w:tc>
          <w:tcPr>
            <w:tcW w:w="794" w:type="pct"/>
            <w:tcBorders>
              <w:top w:val="single" w:color="auto" w:sz="4" w:space="0"/>
              <w:left w:val="nil"/>
              <w:bottom w:val="single" w:color="auto" w:sz="4" w:space="0"/>
              <w:right w:val="single" w:color="auto" w:sz="4" w:space="0"/>
            </w:tcBorders>
            <w:vAlign w:val="center"/>
          </w:tcPr>
          <w:p w14:paraId="4B7587F9">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卖   方</w:t>
            </w:r>
          </w:p>
        </w:tc>
        <w:tc>
          <w:tcPr>
            <w:tcW w:w="1764" w:type="pct"/>
            <w:tcBorders>
              <w:top w:val="single" w:color="auto" w:sz="4" w:space="0"/>
              <w:left w:val="nil"/>
              <w:bottom w:val="single" w:color="auto" w:sz="4" w:space="0"/>
              <w:right w:val="single" w:color="auto" w:sz="4" w:space="0"/>
            </w:tcBorders>
            <w:vAlign w:val="center"/>
          </w:tcPr>
          <w:p w14:paraId="7CCFC606">
            <w:pPr>
              <w:pStyle w:val="9"/>
              <w:keepNext w:val="0"/>
              <w:keepLines w:val="0"/>
              <w:suppressLineNumbers w:val="0"/>
              <w:snapToGrid w:val="0"/>
              <w:ind w:left="0" w:right="0"/>
              <w:rPr>
                <w:rFonts w:hint="default"/>
                <w:color w:val="auto"/>
                <w:highlight w:val="none"/>
              </w:rPr>
            </w:pPr>
          </w:p>
        </w:tc>
      </w:tr>
      <w:tr w14:paraId="05BD8332">
        <w:tblPrEx>
          <w:tblCellMar>
            <w:top w:w="0" w:type="dxa"/>
            <w:left w:w="108" w:type="dxa"/>
            <w:bottom w:w="0" w:type="dxa"/>
            <w:right w:w="108" w:type="dxa"/>
          </w:tblCellMar>
        </w:tblPrEx>
        <w:trPr>
          <w:trHeight w:val="585"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58DF1AFB">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单位地址</w:t>
            </w:r>
          </w:p>
        </w:tc>
        <w:tc>
          <w:tcPr>
            <w:tcW w:w="1669" w:type="pct"/>
            <w:tcBorders>
              <w:top w:val="single" w:color="auto" w:sz="4" w:space="0"/>
              <w:left w:val="nil"/>
              <w:bottom w:val="single" w:color="auto" w:sz="4" w:space="0"/>
              <w:right w:val="single" w:color="auto" w:sz="4" w:space="0"/>
            </w:tcBorders>
            <w:vAlign w:val="center"/>
          </w:tcPr>
          <w:p w14:paraId="42B0F8B8">
            <w:pPr>
              <w:pStyle w:val="9"/>
              <w:keepNext w:val="0"/>
              <w:keepLines w:val="0"/>
              <w:suppressLineNumbers w:val="0"/>
              <w:snapToGrid w:val="0"/>
              <w:ind w:left="0" w:right="0"/>
              <w:rPr>
                <w:rFonts w:hint="default"/>
                <w:color w:val="auto"/>
                <w:highlight w:val="none"/>
              </w:rPr>
            </w:pPr>
            <w:r>
              <w:rPr>
                <w:rFonts w:hint="eastAsia"/>
                <w:color w:val="auto"/>
                <w:highlight w:val="none"/>
              </w:rPr>
              <w:t xml:space="preserve">厦门市湖里区机场北路476号 </w:t>
            </w:r>
          </w:p>
        </w:tc>
        <w:tc>
          <w:tcPr>
            <w:tcW w:w="794" w:type="pct"/>
            <w:tcBorders>
              <w:top w:val="single" w:color="auto" w:sz="4" w:space="0"/>
              <w:left w:val="nil"/>
              <w:bottom w:val="single" w:color="auto" w:sz="4" w:space="0"/>
              <w:right w:val="single" w:color="auto" w:sz="4" w:space="0"/>
            </w:tcBorders>
            <w:vAlign w:val="center"/>
          </w:tcPr>
          <w:p w14:paraId="5A98BE2A">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单位地址</w:t>
            </w:r>
          </w:p>
        </w:tc>
        <w:tc>
          <w:tcPr>
            <w:tcW w:w="1764" w:type="pct"/>
            <w:tcBorders>
              <w:top w:val="single" w:color="auto" w:sz="4" w:space="0"/>
              <w:left w:val="nil"/>
              <w:bottom w:val="single" w:color="auto" w:sz="4" w:space="0"/>
              <w:right w:val="single" w:color="auto" w:sz="4" w:space="0"/>
            </w:tcBorders>
            <w:vAlign w:val="center"/>
          </w:tcPr>
          <w:p w14:paraId="6C2CB2EB">
            <w:pPr>
              <w:pStyle w:val="9"/>
              <w:keepNext w:val="0"/>
              <w:keepLines w:val="0"/>
              <w:suppressLineNumbers w:val="0"/>
              <w:snapToGrid w:val="0"/>
              <w:ind w:left="0" w:right="0"/>
              <w:rPr>
                <w:rFonts w:hint="default"/>
                <w:color w:val="auto"/>
                <w:highlight w:val="none"/>
              </w:rPr>
            </w:pPr>
          </w:p>
        </w:tc>
      </w:tr>
      <w:tr w14:paraId="1F0DA81B">
        <w:tblPrEx>
          <w:tblCellMar>
            <w:top w:w="0" w:type="dxa"/>
            <w:left w:w="108" w:type="dxa"/>
            <w:bottom w:w="0" w:type="dxa"/>
            <w:right w:w="108" w:type="dxa"/>
          </w:tblCellMar>
        </w:tblPrEx>
        <w:trPr>
          <w:trHeight w:val="499"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642E9720">
            <w:pPr>
              <w:pStyle w:val="9"/>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highlight w:val="none"/>
              </w:rPr>
              <w:t>法定代表人</w:t>
            </w:r>
          </w:p>
        </w:tc>
        <w:tc>
          <w:tcPr>
            <w:tcW w:w="1669" w:type="pct"/>
            <w:tcBorders>
              <w:top w:val="single" w:color="auto" w:sz="4" w:space="0"/>
              <w:left w:val="nil"/>
              <w:bottom w:val="single" w:color="auto" w:sz="4" w:space="0"/>
              <w:right w:val="single" w:color="auto" w:sz="4" w:space="0"/>
            </w:tcBorders>
            <w:vAlign w:val="center"/>
          </w:tcPr>
          <w:p w14:paraId="0547B500">
            <w:pPr>
              <w:pStyle w:val="9"/>
              <w:keepNext w:val="0"/>
              <w:keepLines w:val="0"/>
              <w:suppressLineNumbers w:val="0"/>
              <w:snapToGrid w:val="0"/>
              <w:ind w:left="0" w:right="0"/>
              <w:rPr>
                <w:rFonts w:hint="default"/>
                <w:color w:val="auto"/>
                <w:highlight w:val="none"/>
              </w:rPr>
            </w:pPr>
          </w:p>
        </w:tc>
        <w:tc>
          <w:tcPr>
            <w:tcW w:w="794" w:type="pct"/>
            <w:tcBorders>
              <w:top w:val="single" w:color="auto" w:sz="4" w:space="0"/>
              <w:left w:val="nil"/>
              <w:bottom w:val="single" w:color="auto" w:sz="4" w:space="0"/>
              <w:right w:val="single" w:color="auto" w:sz="4" w:space="0"/>
            </w:tcBorders>
            <w:vAlign w:val="center"/>
          </w:tcPr>
          <w:p w14:paraId="644CDBB7">
            <w:pPr>
              <w:pStyle w:val="9"/>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highlight w:val="none"/>
              </w:rPr>
              <w:t>法定代表人</w:t>
            </w:r>
          </w:p>
        </w:tc>
        <w:tc>
          <w:tcPr>
            <w:tcW w:w="1764" w:type="pct"/>
            <w:tcBorders>
              <w:top w:val="single" w:color="auto" w:sz="4" w:space="0"/>
              <w:left w:val="nil"/>
              <w:bottom w:val="single" w:color="auto" w:sz="4" w:space="0"/>
              <w:right w:val="single" w:color="auto" w:sz="4" w:space="0"/>
            </w:tcBorders>
            <w:vAlign w:val="center"/>
          </w:tcPr>
          <w:p w14:paraId="1D7BA4F9">
            <w:pPr>
              <w:pStyle w:val="9"/>
              <w:keepNext w:val="0"/>
              <w:keepLines w:val="0"/>
              <w:suppressLineNumbers w:val="0"/>
              <w:snapToGrid w:val="0"/>
              <w:ind w:left="0" w:right="0"/>
              <w:rPr>
                <w:rFonts w:hint="default"/>
                <w:color w:val="auto"/>
                <w:highlight w:val="none"/>
              </w:rPr>
            </w:pPr>
          </w:p>
        </w:tc>
      </w:tr>
      <w:tr w14:paraId="682F9E61">
        <w:tblPrEx>
          <w:tblCellMar>
            <w:top w:w="0" w:type="dxa"/>
            <w:left w:w="108" w:type="dxa"/>
            <w:bottom w:w="0" w:type="dxa"/>
            <w:right w:w="108" w:type="dxa"/>
          </w:tblCellMar>
        </w:tblPrEx>
        <w:trPr>
          <w:trHeight w:val="542"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77FB4EA4">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签字代表</w:t>
            </w:r>
          </w:p>
        </w:tc>
        <w:tc>
          <w:tcPr>
            <w:tcW w:w="1669" w:type="pct"/>
            <w:tcBorders>
              <w:top w:val="single" w:color="auto" w:sz="4" w:space="0"/>
              <w:left w:val="nil"/>
              <w:bottom w:val="single" w:color="auto" w:sz="4" w:space="0"/>
              <w:right w:val="single" w:color="auto" w:sz="4" w:space="0"/>
            </w:tcBorders>
            <w:vAlign w:val="center"/>
          </w:tcPr>
          <w:p w14:paraId="36C41204">
            <w:pPr>
              <w:pStyle w:val="9"/>
              <w:keepNext w:val="0"/>
              <w:keepLines w:val="0"/>
              <w:suppressLineNumbers w:val="0"/>
              <w:snapToGrid w:val="0"/>
              <w:ind w:left="0" w:right="0"/>
              <w:rPr>
                <w:rFonts w:hint="default"/>
                <w:color w:val="auto"/>
                <w:highlight w:val="none"/>
              </w:rPr>
            </w:pPr>
          </w:p>
        </w:tc>
        <w:tc>
          <w:tcPr>
            <w:tcW w:w="794" w:type="pct"/>
            <w:tcBorders>
              <w:top w:val="single" w:color="auto" w:sz="4" w:space="0"/>
              <w:left w:val="nil"/>
              <w:bottom w:val="single" w:color="auto" w:sz="4" w:space="0"/>
              <w:right w:val="single" w:color="auto" w:sz="4" w:space="0"/>
            </w:tcBorders>
            <w:vAlign w:val="center"/>
          </w:tcPr>
          <w:p w14:paraId="00C483E3">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签字代表</w:t>
            </w:r>
          </w:p>
        </w:tc>
        <w:tc>
          <w:tcPr>
            <w:tcW w:w="1764" w:type="pct"/>
            <w:tcBorders>
              <w:top w:val="single" w:color="auto" w:sz="4" w:space="0"/>
              <w:left w:val="nil"/>
              <w:bottom w:val="single" w:color="auto" w:sz="4" w:space="0"/>
              <w:right w:val="single" w:color="auto" w:sz="4" w:space="0"/>
            </w:tcBorders>
            <w:vAlign w:val="center"/>
          </w:tcPr>
          <w:p w14:paraId="28AB4F8F">
            <w:pPr>
              <w:pStyle w:val="9"/>
              <w:keepNext w:val="0"/>
              <w:keepLines w:val="0"/>
              <w:suppressLineNumbers w:val="0"/>
              <w:snapToGrid w:val="0"/>
              <w:ind w:left="0" w:right="0"/>
              <w:rPr>
                <w:rFonts w:hint="default"/>
                <w:color w:val="auto"/>
                <w:highlight w:val="none"/>
              </w:rPr>
            </w:pPr>
          </w:p>
        </w:tc>
      </w:tr>
      <w:tr w14:paraId="400DB169">
        <w:tblPrEx>
          <w:tblCellMar>
            <w:top w:w="0" w:type="dxa"/>
            <w:left w:w="108" w:type="dxa"/>
            <w:bottom w:w="0" w:type="dxa"/>
            <w:right w:w="108" w:type="dxa"/>
          </w:tblCellMar>
        </w:tblPrEx>
        <w:trPr>
          <w:trHeight w:val="327"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0EAD8635">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电    话</w:t>
            </w:r>
          </w:p>
        </w:tc>
        <w:tc>
          <w:tcPr>
            <w:tcW w:w="1669" w:type="pct"/>
            <w:tcBorders>
              <w:top w:val="single" w:color="auto" w:sz="4" w:space="0"/>
              <w:left w:val="nil"/>
              <w:bottom w:val="single" w:color="auto" w:sz="4" w:space="0"/>
              <w:right w:val="single" w:color="auto" w:sz="4" w:space="0"/>
            </w:tcBorders>
            <w:vAlign w:val="center"/>
          </w:tcPr>
          <w:p w14:paraId="4216D4E9">
            <w:pPr>
              <w:pStyle w:val="9"/>
              <w:keepNext w:val="0"/>
              <w:keepLines w:val="0"/>
              <w:suppressLineNumbers w:val="0"/>
              <w:snapToGrid w:val="0"/>
              <w:ind w:left="0" w:right="0"/>
              <w:rPr>
                <w:rFonts w:hint="default"/>
                <w:color w:val="auto"/>
                <w:highlight w:val="none"/>
              </w:rPr>
            </w:pPr>
          </w:p>
        </w:tc>
        <w:tc>
          <w:tcPr>
            <w:tcW w:w="794" w:type="pct"/>
            <w:tcBorders>
              <w:top w:val="single" w:color="auto" w:sz="4" w:space="0"/>
              <w:left w:val="nil"/>
              <w:bottom w:val="single" w:color="auto" w:sz="4" w:space="0"/>
              <w:right w:val="single" w:color="auto" w:sz="4" w:space="0"/>
            </w:tcBorders>
            <w:vAlign w:val="center"/>
          </w:tcPr>
          <w:p w14:paraId="7F530905">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电   话</w:t>
            </w:r>
          </w:p>
        </w:tc>
        <w:tc>
          <w:tcPr>
            <w:tcW w:w="1764" w:type="pct"/>
            <w:tcBorders>
              <w:top w:val="single" w:color="auto" w:sz="4" w:space="0"/>
              <w:left w:val="nil"/>
              <w:bottom w:val="single" w:color="auto" w:sz="4" w:space="0"/>
              <w:right w:val="single" w:color="auto" w:sz="4" w:space="0"/>
            </w:tcBorders>
            <w:vAlign w:val="center"/>
          </w:tcPr>
          <w:p w14:paraId="3C7FBE43">
            <w:pPr>
              <w:pStyle w:val="9"/>
              <w:keepNext w:val="0"/>
              <w:keepLines w:val="0"/>
              <w:suppressLineNumbers w:val="0"/>
              <w:snapToGrid w:val="0"/>
              <w:ind w:left="0" w:right="0"/>
              <w:rPr>
                <w:rFonts w:hint="default"/>
                <w:color w:val="auto"/>
                <w:highlight w:val="none"/>
              </w:rPr>
            </w:pPr>
          </w:p>
        </w:tc>
      </w:tr>
      <w:tr w14:paraId="5F72DA50">
        <w:tblPrEx>
          <w:tblCellMar>
            <w:top w:w="0" w:type="dxa"/>
            <w:left w:w="108" w:type="dxa"/>
            <w:bottom w:w="0" w:type="dxa"/>
            <w:right w:w="108" w:type="dxa"/>
          </w:tblCellMar>
        </w:tblPrEx>
        <w:trPr>
          <w:trHeight w:val="746"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0513673D">
            <w:pPr>
              <w:pStyle w:val="9"/>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highlight w:val="none"/>
              </w:rPr>
              <w:t>开户行</w:t>
            </w:r>
          </w:p>
        </w:tc>
        <w:tc>
          <w:tcPr>
            <w:tcW w:w="1669" w:type="pct"/>
            <w:tcBorders>
              <w:top w:val="single" w:color="auto" w:sz="4" w:space="0"/>
              <w:left w:val="nil"/>
              <w:bottom w:val="single" w:color="auto" w:sz="4" w:space="0"/>
              <w:right w:val="single" w:color="auto" w:sz="4" w:space="0"/>
            </w:tcBorders>
            <w:vAlign w:val="center"/>
          </w:tcPr>
          <w:p w14:paraId="2193A1B7">
            <w:pPr>
              <w:pStyle w:val="9"/>
              <w:keepNext w:val="0"/>
              <w:keepLines w:val="0"/>
              <w:suppressLineNumbers w:val="0"/>
              <w:snapToGrid w:val="0"/>
              <w:ind w:left="0" w:right="0"/>
              <w:rPr>
                <w:rFonts w:hint="default"/>
                <w:color w:val="auto"/>
                <w:highlight w:val="none"/>
              </w:rPr>
            </w:pPr>
            <w:r>
              <w:rPr>
                <w:rFonts w:hint="eastAsia"/>
                <w:color w:val="auto"/>
                <w:highlight w:val="none"/>
              </w:rPr>
              <w:t>中国建设银行股份有限公司厦门自贸试验区航空港支行</w:t>
            </w:r>
          </w:p>
        </w:tc>
        <w:tc>
          <w:tcPr>
            <w:tcW w:w="794" w:type="pct"/>
            <w:tcBorders>
              <w:top w:val="single" w:color="auto" w:sz="4" w:space="0"/>
              <w:left w:val="nil"/>
              <w:bottom w:val="single" w:color="auto" w:sz="4" w:space="0"/>
              <w:right w:val="single" w:color="auto" w:sz="4" w:space="0"/>
            </w:tcBorders>
            <w:vAlign w:val="center"/>
          </w:tcPr>
          <w:p w14:paraId="15BB8AD8">
            <w:pPr>
              <w:pStyle w:val="9"/>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highlight w:val="none"/>
              </w:rPr>
              <w:t>开户行</w:t>
            </w:r>
          </w:p>
        </w:tc>
        <w:tc>
          <w:tcPr>
            <w:tcW w:w="1764" w:type="pct"/>
            <w:tcBorders>
              <w:top w:val="single" w:color="auto" w:sz="4" w:space="0"/>
              <w:left w:val="nil"/>
              <w:bottom w:val="single" w:color="auto" w:sz="4" w:space="0"/>
              <w:right w:val="single" w:color="auto" w:sz="4" w:space="0"/>
            </w:tcBorders>
            <w:vAlign w:val="center"/>
          </w:tcPr>
          <w:p w14:paraId="4A106B40">
            <w:pPr>
              <w:keepNext w:val="0"/>
              <w:keepLines w:val="0"/>
              <w:suppressLineNumbers w:val="0"/>
              <w:spacing w:before="0" w:beforeAutospacing="0" w:after="0" w:afterAutospacing="0" w:line="240" w:lineRule="atLeast"/>
              <w:ind w:left="0" w:right="0"/>
              <w:jc w:val="left"/>
              <w:rPr>
                <w:rFonts w:hint="default" w:ascii="宋体" w:hAnsi="宋体"/>
                <w:color w:val="auto"/>
                <w:kern w:val="0"/>
                <w:sz w:val="24"/>
                <w:szCs w:val="24"/>
                <w:highlight w:val="none"/>
              </w:rPr>
            </w:pPr>
          </w:p>
        </w:tc>
      </w:tr>
      <w:tr w14:paraId="6E2BF9D8">
        <w:tblPrEx>
          <w:tblCellMar>
            <w:top w:w="0" w:type="dxa"/>
            <w:left w:w="108" w:type="dxa"/>
            <w:bottom w:w="0" w:type="dxa"/>
            <w:right w:w="108" w:type="dxa"/>
          </w:tblCellMar>
        </w:tblPrEx>
        <w:trPr>
          <w:trHeight w:val="336"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369DE3BE">
            <w:pPr>
              <w:pStyle w:val="9"/>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spacing w:val="20"/>
                <w:highlight w:val="none"/>
              </w:rPr>
              <w:t>账  号</w:t>
            </w:r>
          </w:p>
        </w:tc>
        <w:tc>
          <w:tcPr>
            <w:tcW w:w="1669" w:type="pct"/>
            <w:tcBorders>
              <w:top w:val="single" w:color="auto" w:sz="4" w:space="0"/>
              <w:left w:val="nil"/>
              <w:bottom w:val="single" w:color="auto" w:sz="4" w:space="0"/>
              <w:right w:val="single" w:color="auto" w:sz="4" w:space="0"/>
            </w:tcBorders>
            <w:vAlign w:val="center"/>
          </w:tcPr>
          <w:p w14:paraId="2E7C0268">
            <w:pPr>
              <w:pStyle w:val="9"/>
              <w:keepNext w:val="0"/>
              <w:keepLines w:val="0"/>
              <w:suppressLineNumbers w:val="0"/>
              <w:snapToGrid w:val="0"/>
              <w:ind w:left="0" w:right="0"/>
              <w:rPr>
                <w:rFonts w:hint="default"/>
                <w:color w:val="auto"/>
                <w:highlight w:val="none"/>
              </w:rPr>
            </w:pPr>
            <w:r>
              <w:rPr>
                <w:rFonts w:hint="eastAsia"/>
                <w:color w:val="auto"/>
                <w:highlight w:val="none"/>
              </w:rPr>
              <w:t xml:space="preserve">35101570201052503924  </w:t>
            </w:r>
          </w:p>
        </w:tc>
        <w:tc>
          <w:tcPr>
            <w:tcW w:w="794" w:type="pct"/>
            <w:tcBorders>
              <w:top w:val="single" w:color="auto" w:sz="4" w:space="0"/>
              <w:left w:val="nil"/>
              <w:bottom w:val="single" w:color="auto" w:sz="4" w:space="0"/>
              <w:right w:val="single" w:color="auto" w:sz="4" w:space="0"/>
            </w:tcBorders>
            <w:vAlign w:val="center"/>
          </w:tcPr>
          <w:p w14:paraId="3119B27C">
            <w:pPr>
              <w:pStyle w:val="9"/>
              <w:keepNext w:val="0"/>
              <w:keepLines w:val="0"/>
              <w:suppressLineNumbers w:val="0"/>
              <w:snapToGrid w:val="0"/>
              <w:spacing w:line="360" w:lineRule="auto"/>
              <w:ind w:left="0" w:right="0"/>
              <w:jc w:val="center"/>
              <w:rPr>
                <w:rFonts w:hint="default"/>
                <w:b/>
                <w:bCs/>
                <w:color w:val="auto"/>
                <w:highlight w:val="none"/>
              </w:rPr>
            </w:pPr>
            <w:r>
              <w:rPr>
                <w:rFonts w:hint="eastAsia"/>
                <w:b/>
                <w:bCs/>
                <w:color w:val="auto"/>
                <w:spacing w:val="20"/>
                <w:highlight w:val="none"/>
              </w:rPr>
              <w:t>账  号</w:t>
            </w:r>
          </w:p>
        </w:tc>
        <w:tc>
          <w:tcPr>
            <w:tcW w:w="1764" w:type="pct"/>
            <w:tcBorders>
              <w:top w:val="single" w:color="auto" w:sz="4" w:space="0"/>
              <w:left w:val="nil"/>
              <w:bottom w:val="single" w:color="auto" w:sz="4" w:space="0"/>
              <w:right w:val="single" w:color="auto" w:sz="4" w:space="0"/>
            </w:tcBorders>
            <w:vAlign w:val="center"/>
          </w:tcPr>
          <w:p w14:paraId="3FC73AC3">
            <w:pPr>
              <w:keepNext w:val="0"/>
              <w:keepLines w:val="0"/>
              <w:suppressLineNumbers w:val="0"/>
              <w:spacing w:before="0" w:beforeAutospacing="0" w:after="0" w:afterAutospacing="0" w:line="360" w:lineRule="auto"/>
              <w:ind w:left="0" w:right="0"/>
              <w:jc w:val="left"/>
              <w:rPr>
                <w:rFonts w:hint="default" w:ascii="宋体" w:hAnsi="宋体"/>
                <w:color w:val="auto"/>
                <w:kern w:val="0"/>
                <w:sz w:val="24"/>
                <w:szCs w:val="24"/>
                <w:highlight w:val="none"/>
              </w:rPr>
            </w:pPr>
          </w:p>
        </w:tc>
      </w:tr>
      <w:tr w14:paraId="7B51EBED">
        <w:tblPrEx>
          <w:tblCellMar>
            <w:top w:w="0" w:type="dxa"/>
            <w:left w:w="108" w:type="dxa"/>
            <w:bottom w:w="0" w:type="dxa"/>
            <w:right w:w="108" w:type="dxa"/>
          </w:tblCellMar>
        </w:tblPrEx>
        <w:trPr>
          <w:trHeight w:val="465"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14:paraId="49B12961">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签订日期</w:t>
            </w:r>
          </w:p>
        </w:tc>
        <w:tc>
          <w:tcPr>
            <w:tcW w:w="1669" w:type="pct"/>
            <w:tcBorders>
              <w:top w:val="single" w:color="auto" w:sz="4" w:space="0"/>
              <w:left w:val="nil"/>
              <w:bottom w:val="single" w:color="auto" w:sz="4" w:space="0"/>
              <w:right w:val="single" w:color="auto" w:sz="4" w:space="0"/>
            </w:tcBorders>
            <w:vAlign w:val="center"/>
          </w:tcPr>
          <w:p w14:paraId="2C9CE84D">
            <w:pPr>
              <w:pStyle w:val="9"/>
              <w:keepNext w:val="0"/>
              <w:keepLines w:val="0"/>
              <w:suppressLineNumbers w:val="0"/>
              <w:snapToGrid w:val="0"/>
              <w:spacing w:line="360" w:lineRule="auto"/>
              <w:ind w:left="0" w:right="0"/>
              <w:rPr>
                <w:rFonts w:hint="default"/>
                <w:color w:val="auto"/>
                <w:highlight w:val="none"/>
              </w:rPr>
            </w:pPr>
          </w:p>
        </w:tc>
        <w:tc>
          <w:tcPr>
            <w:tcW w:w="794" w:type="pct"/>
            <w:tcBorders>
              <w:top w:val="single" w:color="auto" w:sz="4" w:space="0"/>
              <w:left w:val="nil"/>
              <w:bottom w:val="single" w:color="auto" w:sz="4" w:space="0"/>
              <w:right w:val="single" w:color="auto" w:sz="4" w:space="0"/>
            </w:tcBorders>
            <w:vAlign w:val="center"/>
          </w:tcPr>
          <w:p w14:paraId="265955E3">
            <w:pPr>
              <w:pStyle w:val="9"/>
              <w:keepNext w:val="0"/>
              <w:keepLines w:val="0"/>
              <w:suppressLineNumbers w:val="0"/>
              <w:snapToGrid w:val="0"/>
              <w:spacing w:line="360" w:lineRule="auto"/>
              <w:ind w:left="0" w:right="0"/>
              <w:jc w:val="center"/>
              <w:rPr>
                <w:rFonts w:hint="default"/>
                <w:color w:val="auto"/>
                <w:highlight w:val="none"/>
              </w:rPr>
            </w:pPr>
            <w:r>
              <w:rPr>
                <w:rFonts w:hint="eastAsia"/>
                <w:b/>
                <w:bCs/>
                <w:color w:val="auto"/>
                <w:highlight w:val="none"/>
              </w:rPr>
              <w:t>签订日期</w:t>
            </w:r>
          </w:p>
        </w:tc>
        <w:tc>
          <w:tcPr>
            <w:tcW w:w="1764" w:type="pct"/>
            <w:tcBorders>
              <w:top w:val="single" w:color="auto" w:sz="4" w:space="0"/>
              <w:left w:val="nil"/>
              <w:bottom w:val="single" w:color="auto" w:sz="4" w:space="0"/>
              <w:right w:val="single" w:color="auto" w:sz="4" w:space="0"/>
            </w:tcBorders>
            <w:vAlign w:val="center"/>
          </w:tcPr>
          <w:p w14:paraId="6A292DA5">
            <w:pPr>
              <w:pStyle w:val="9"/>
              <w:keepNext w:val="0"/>
              <w:keepLines w:val="0"/>
              <w:suppressLineNumbers w:val="0"/>
              <w:snapToGrid w:val="0"/>
              <w:spacing w:line="360" w:lineRule="auto"/>
              <w:ind w:left="0" w:right="0"/>
              <w:rPr>
                <w:rFonts w:hint="default"/>
                <w:color w:val="auto"/>
                <w:highlight w:val="none"/>
              </w:rPr>
            </w:pPr>
          </w:p>
        </w:tc>
      </w:tr>
    </w:tbl>
    <w:p w14:paraId="3A12AE0D">
      <w:pPr>
        <w:widowControl/>
        <w:jc w:val="left"/>
        <w:rPr>
          <w:rFonts w:ascii="宋体" w:hAnsi="宋体" w:cs="宋体"/>
          <w:color w:val="auto"/>
          <w:sz w:val="24"/>
          <w:szCs w:val="24"/>
          <w:highlight w:val="none"/>
        </w:rPr>
      </w:pPr>
      <w:r>
        <w:rPr>
          <w:rFonts w:ascii="宋体" w:hAnsi="宋体" w:cs="宋体"/>
          <w:color w:val="auto"/>
          <w:sz w:val="24"/>
          <w:szCs w:val="24"/>
          <w:highlight w:val="none"/>
        </w:rPr>
        <w:br w:type="page"/>
      </w:r>
    </w:p>
    <w:p w14:paraId="6F04C2B9">
      <w:pPr>
        <w:widowControl/>
        <w:ind w:left="-850" w:leftChars="-405"/>
        <w:rPr>
          <w:rFonts w:ascii="宋体" w:hAnsi="宋体" w:cs="宋体"/>
          <w:color w:val="auto"/>
          <w:sz w:val="24"/>
          <w:szCs w:val="24"/>
          <w:highlight w:val="none"/>
        </w:rPr>
      </w:pPr>
      <w:r>
        <w:rPr>
          <w:rFonts w:ascii="宋体" w:hAnsi="宋体" w:cs="宋体"/>
          <w:color w:val="auto"/>
          <w:sz w:val="24"/>
          <w:szCs w:val="24"/>
          <w:highlight w:val="none"/>
        </w:rPr>
        <w:t>附件1：供货清单</w:t>
      </w:r>
    </w:p>
    <w:p w14:paraId="023FBEBD">
      <w:pPr>
        <w:pStyle w:val="9"/>
        <w:textAlignment w:val="baseline"/>
        <w:rPr>
          <w:rFonts w:eastAsia="等线"/>
          <w:color w:val="auto"/>
          <w:highlight w:val="none"/>
        </w:rPr>
      </w:pPr>
      <w:r>
        <w:rPr>
          <w:rFonts w:eastAsia="等线"/>
          <w:color w:val="auto"/>
          <w:highlight w:val="none"/>
        </w:rPr>
        <w:t xml:space="preserve"> </w:t>
      </w:r>
    </w:p>
    <w:tbl>
      <w:tblPr>
        <w:tblStyle w:val="13"/>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857"/>
        <w:gridCol w:w="775"/>
        <w:gridCol w:w="776"/>
        <w:gridCol w:w="1502"/>
        <w:gridCol w:w="1963"/>
        <w:gridCol w:w="994"/>
        <w:gridCol w:w="1105"/>
      </w:tblGrid>
      <w:tr w14:paraId="72AB5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7BA92BCC">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default" w:ascii="华文楷体" w:hAnsi="华文楷体" w:eastAsia="华文楷体" w:cs="华文楷体"/>
                <w:b/>
                <w:color w:val="auto"/>
                <w:sz w:val="24"/>
                <w:szCs w:val="24"/>
                <w:highlight w:val="none"/>
              </w:rPr>
              <w:t>序号</w:t>
            </w:r>
          </w:p>
        </w:tc>
        <w:tc>
          <w:tcPr>
            <w:tcW w:w="503" w:type="pct"/>
            <w:tcBorders>
              <w:top w:val="single" w:color="auto" w:sz="4" w:space="0"/>
              <w:left w:val="single" w:color="auto" w:sz="4" w:space="0"/>
              <w:bottom w:val="single" w:color="auto" w:sz="4" w:space="0"/>
              <w:right w:val="single" w:color="auto" w:sz="4" w:space="0"/>
            </w:tcBorders>
            <w:vAlign w:val="center"/>
          </w:tcPr>
          <w:p w14:paraId="430AF2F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default" w:ascii="华文楷体" w:hAnsi="华文楷体" w:eastAsia="华文楷体" w:cs="华文楷体"/>
                <w:b/>
                <w:color w:val="auto"/>
                <w:sz w:val="24"/>
                <w:szCs w:val="24"/>
                <w:highlight w:val="none"/>
              </w:rPr>
              <w:t>名</w:t>
            </w:r>
            <w:r>
              <w:rPr>
                <w:rFonts w:hint="default" w:ascii="华文楷体" w:hAnsi="华文楷体" w:eastAsia="华文楷体"/>
                <w:b/>
                <w:color w:val="auto"/>
                <w:sz w:val="24"/>
                <w:szCs w:val="24"/>
                <w:highlight w:val="none"/>
              </w:rPr>
              <w:t xml:space="preserve"> </w:t>
            </w:r>
            <w:r>
              <w:rPr>
                <w:rFonts w:hint="default" w:ascii="华文楷体" w:hAnsi="华文楷体" w:eastAsia="华文楷体" w:cs="华文楷体"/>
                <w:b/>
                <w:color w:val="auto"/>
                <w:sz w:val="24"/>
                <w:szCs w:val="24"/>
                <w:highlight w:val="none"/>
              </w:rPr>
              <w:t xml:space="preserve"> 称</w:t>
            </w:r>
          </w:p>
        </w:tc>
        <w:tc>
          <w:tcPr>
            <w:tcW w:w="455" w:type="pct"/>
            <w:tcBorders>
              <w:top w:val="single" w:color="auto" w:sz="4" w:space="0"/>
              <w:left w:val="single" w:color="auto" w:sz="4" w:space="0"/>
              <w:bottom w:val="single" w:color="auto" w:sz="4" w:space="0"/>
              <w:right w:val="single" w:color="auto" w:sz="4" w:space="0"/>
            </w:tcBorders>
            <w:vAlign w:val="center"/>
          </w:tcPr>
          <w:p w14:paraId="03AD0690">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default" w:ascii="华文楷体" w:hAnsi="华文楷体" w:eastAsia="华文楷体" w:cs="华文楷体"/>
                <w:b/>
                <w:color w:val="auto"/>
                <w:sz w:val="24"/>
                <w:szCs w:val="24"/>
                <w:highlight w:val="none"/>
              </w:rPr>
              <w:t>数量</w:t>
            </w:r>
          </w:p>
        </w:tc>
        <w:tc>
          <w:tcPr>
            <w:tcW w:w="456" w:type="pct"/>
            <w:tcBorders>
              <w:top w:val="single" w:color="auto" w:sz="4" w:space="0"/>
              <w:left w:val="single" w:color="auto" w:sz="4" w:space="0"/>
              <w:bottom w:val="single" w:color="auto" w:sz="4" w:space="0"/>
              <w:right w:val="single" w:color="auto" w:sz="4" w:space="0"/>
            </w:tcBorders>
            <w:vAlign w:val="center"/>
          </w:tcPr>
          <w:p w14:paraId="44798B7E">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default" w:ascii="华文楷体" w:hAnsi="华文楷体" w:eastAsia="华文楷体" w:cs="华文楷体"/>
                <w:b/>
                <w:color w:val="auto"/>
                <w:sz w:val="24"/>
                <w:szCs w:val="24"/>
                <w:highlight w:val="none"/>
              </w:rPr>
              <w:t>原产地</w:t>
            </w:r>
          </w:p>
        </w:tc>
        <w:tc>
          <w:tcPr>
            <w:tcW w:w="882" w:type="pct"/>
            <w:tcBorders>
              <w:top w:val="single" w:color="auto" w:sz="4" w:space="0"/>
              <w:left w:val="single" w:color="auto" w:sz="4" w:space="0"/>
              <w:bottom w:val="single" w:color="auto" w:sz="4" w:space="0"/>
              <w:right w:val="single" w:color="auto" w:sz="4" w:space="0"/>
            </w:tcBorders>
            <w:vAlign w:val="center"/>
          </w:tcPr>
          <w:p w14:paraId="3B489C6A">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default" w:ascii="华文楷体" w:hAnsi="华文楷体" w:eastAsia="华文楷体" w:cs="华文楷体"/>
                <w:b/>
                <w:color w:val="auto"/>
                <w:sz w:val="24"/>
                <w:szCs w:val="24"/>
                <w:highlight w:val="none"/>
              </w:rPr>
              <w:t>制造商</w:t>
            </w:r>
          </w:p>
        </w:tc>
        <w:tc>
          <w:tcPr>
            <w:tcW w:w="1151" w:type="pct"/>
            <w:tcBorders>
              <w:top w:val="single" w:color="auto" w:sz="4" w:space="0"/>
              <w:left w:val="single" w:color="auto" w:sz="4" w:space="0"/>
              <w:bottom w:val="single" w:color="auto" w:sz="4" w:space="0"/>
              <w:right w:val="single" w:color="auto" w:sz="4" w:space="0"/>
            </w:tcBorders>
            <w:vAlign w:val="center"/>
          </w:tcPr>
          <w:p w14:paraId="450A180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default" w:ascii="华文楷体" w:hAnsi="华文楷体" w:eastAsia="华文楷体" w:cs="华文楷体"/>
                <w:b/>
                <w:color w:val="auto"/>
                <w:sz w:val="24"/>
                <w:szCs w:val="24"/>
                <w:highlight w:val="none"/>
              </w:rPr>
              <w:t>规 格</w:t>
            </w:r>
            <w:r>
              <w:rPr>
                <w:rFonts w:hint="default" w:ascii="华文楷体" w:hAnsi="华文楷体" w:eastAsia="华文楷体"/>
                <w:b/>
                <w:color w:val="auto"/>
                <w:sz w:val="24"/>
                <w:szCs w:val="24"/>
                <w:highlight w:val="none"/>
              </w:rPr>
              <w:t xml:space="preserve"> </w:t>
            </w:r>
            <w:r>
              <w:rPr>
                <w:rFonts w:hint="default" w:ascii="华文楷体" w:hAnsi="华文楷体" w:eastAsia="华文楷体" w:cs="华文楷体"/>
                <w:b/>
                <w:color w:val="auto"/>
                <w:sz w:val="24"/>
                <w:szCs w:val="24"/>
                <w:highlight w:val="none"/>
              </w:rPr>
              <w:t>型</w:t>
            </w:r>
            <w:r>
              <w:rPr>
                <w:rFonts w:hint="default" w:ascii="华文楷体" w:hAnsi="华文楷体" w:eastAsia="华文楷体"/>
                <w:b/>
                <w:color w:val="auto"/>
                <w:sz w:val="24"/>
                <w:szCs w:val="24"/>
                <w:highlight w:val="none"/>
              </w:rPr>
              <w:t xml:space="preserve"> </w:t>
            </w:r>
            <w:r>
              <w:rPr>
                <w:rFonts w:hint="default" w:ascii="华文楷体" w:hAnsi="华文楷体" w:eastAsia="华文楷体" w:cs="华文楷体"/>
                <w:b/>
                <w:color w:val="auto"/>
                <w:sz w:val="24"/>
                <w:szCs w:val="24"/>
                <w:highlight w:val="none"/>
              </w:rPr>
              <w:t>号</w:t>
            </w:r>
          </w:p>
        </w:tc>
        <w:tc>
          <w:tcPr>
            <w:tcW w:w="584" w:type="pct"/>
            <w:tcBorders>
              <w:top w:val="single" w:color="auto" w:sz="4" w:space="0"/>
              <w:left w:val="single" w:color="auto" w:sz="4" w:space="0"/>
              <w:bottom w:val="single" w:color="auto" w:sz="4" w:space="0"/>
              <w:right w:val="single" w:color="auto" w:sz="4" w:space="0"/>
            </w:tcBorders>
            <w:vAlign w:val="center"/>
          </w:tcPr>
          <w:p w14:paraId="0DB5C0D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default" w:ascii="华文楷体" w:hAnsi="华文楷体" w:eastAsia="华文楷体" w:cs="华文楷体"/>
                <w:b/>
                <w:color w:val="auto"/>
                <w:sz w:val="24"/>
                <w:szCs w:val="24"/>
                <w:highlight w:val="none"/>
              </w:rPr>
              <w:t>单价（元）</w:t>
            </w:r>
          </w:p>
        </w:tc>
        <w:tc>
          <w:tcPr>
            <w:tcW w:w="649" w:type="pct"/>
            <w:tcBorders>
              <w:top w:val="single" w:color="auto" w:sz="4" w:space="0"/>
              <w:left w:val="single" w:color="auto" w:sz="4" w:space="0"/>
              <w:bottom w:val="single" w:color="auto" w:sz="4" w:space="0"/>
              <w:right w:val="single" w:color="auto" w:sz="4" w:space="0"/>
            </w:tcBorders>
          </w:tcPr>
          <w:p w14:paraId="58DC85E6">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default" w:ascii="华文楷体" w:hAnsi="华文楷体" w:eastAsia="华文楷体" w:cs="华文楷体"/>
                <w:b/>
                <w:color w:val="auto"/>
                <w:sz w:val="24"/>
                <w:szCs w:val="24"/>
                <w:highlight w:val="none"/>
              </w:rPr>
              <w:t>金额（元）</w:t>
            </w:r>
          </w:p>
        </w:tc>
      </w:tr>
      <w:tr w14:paraId="05BD4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2C5E0C5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45808B9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0D48556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0B069B6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393DF10A">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42B430AF">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34C8D93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445E206E">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660DF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7" w:type="pct"/>
            <w:tcBorders>
              <w:top w:val="single" w:color="auto" w:sz="4" w:space="0"/>
              <w:left w:val="single" w:color="auto" w:sz="4" w:space="0"/>
              <w:bottom w:val="single" w:color="auto" w:sz="4" w:space="0"/>
              <w:right w:val="single" w:color="auto" w:sz="4" w:space="0"/>
            </w:tcBorders>
            <w:vAlign w:val="center"/>
          </w:tcPr>
          <w:p w14:paraId="75E9716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0D0BC07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021E943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3721244E">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2A81A2D5">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1C57398F">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0F95959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19FBE263">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11E77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53B10D6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3993007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3251C97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5ACFCD89">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62878CF8">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4EE519D6">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70F4321C">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60F6EFA8">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26A23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3839685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5A4E232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4CDE966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7565C8EF">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75D0AC6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65E31901">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6B78037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63F395E8">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72F67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7" w:type="pct"/>
            <w:tcBorders>
              <w:top w:val="single" w:color="auto" w:sz="4" w:space="0"/>
              <w:left w:val="single" w:color="auto" w:sz="4" w:space="0"/>
              <w:bottom w:val="single" w:color="auto" w:sz="4" w:space="0"/>
              <w:right w:val="single" w:color="auto" w:sz="4" w:space="0"/>
            </w:tcBorders>
            <w:vAlign w:val="center"/>
          </w:tcPr>
          <w:p w14:paraId="20813B1C">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370E318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24EED92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47A4B1A4">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6248597F">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39C54F42">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710D946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53F3BFE7">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38B52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1C163AC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25BF826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0E2ED4A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1FB18151">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069DBFC8">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789AC4AA">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01CD414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1D20D182">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09856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6B3BAAB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197E74E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2639763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4C5299C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4EC6B246">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6539928B">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7D0B357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5C439C09">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5AEF3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4044D5F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2000883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0163A63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27B313C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7BF06D9F">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05C8F4BD">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7A88B48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57E63BED">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761C4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3177719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6851A6E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08602EC5">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5AA2A4B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61A025BE">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5D952988">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12C80D3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573EDCDC">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316C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0E927F2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369F084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21F52BD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27ADCEE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0DF07FF9">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7E994833">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1C52F01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442A071B">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3E0B4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2192123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1859B28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4CABD11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61B279B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4D3EE915">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0D5A83FA">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60EBDA0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61805C03">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67BB1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44253A1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39A612E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04996BD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2C37AB6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6C1AC8FF">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1CD1AE27">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74597C7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2C58B413">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37172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4E9AA10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603BAC3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1213F98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5E881011">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3AF0E2BD">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4711791B">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3C6D704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6B78EC73">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4860F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vAlign w:val="center"/>
          </w:tcPr>
          <w:p w14:paraId="6BEB7A2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vAlign w:val="center"/>
          </w:tcPr>
          <w:p w14:paraId="59DB318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vAlign w:val="center"/>
          </w:tcPr>
          <w:p w14:paraId="39405EA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vAlign w:val="center"/>
          </w:tcPr>
          <w:p w14:paraId="501DD3B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vAlign w:val="center"/>
          </w:tcPr>
          <w:p w14:paraId="39187404">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vAlign w:val="center"/>
          </w:tcPr>
          <w:p w14:paraId="564AB9CF">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vAlign w:val="center"/>
          </w:tcPr>
          <w:p w14:paraId="30EAFC1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2465CBD8">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szCs w:val="24"/>
                <w:highlight w:val="none"/>
              </w:rPr>
            </w:pPr>
          </w:p>
        </w:tc>
      </w:tr>
      <w:tr w14:paraId="1A263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6" w:type="pct"/>
            <w:gridSpan w:val="6"/>
            <w:tcBorders>
              <w:top w:val="single" w:color="auto" w:sz="4" w:space="0"/>
              <w:left w:val="single" w:color="auto" w:sz="4" w:space="0"/>
              <w:bottom w:val="single" w:color="auto" w:sz="4" w:space="0"/>
              <w:right w:val="single" w:color="auto" w:sz="4" w:space="0"/>
            </w:tcBorders>
            <w:vAlign w:val="center"/>
          </w:tcPr>
          <w:p w14:paraId="579AD73B">
            <w:pPr>
              <w:keepNext w:val="0"/>
              <w:keepLines w:val="0"/>
              <w:suppressLineNumbers w:val="0"/>
              <w:spacing w:before="0" w:beforeAutospacing="0" w:after="0" w:afterAutospacing="0" w:line="460" w:lineRule="exact"/>
              <w:ind w:left="0" w:right="0"/>
              <w:rPr>
                <w:rFonts w:hint="default" w:ascii="华文楷体" w:hAnsi="华文楷体" w:eastAsia="华文楷体" w:cs="华文楷体"/>
                <w:b/>
                <w:color w:val="auto"/>
                <w:kern w:val="0"/>
                <w:sz w:val="24"/>
                <w:szCs w:val="24"/>
                <w:highlight w:val="none"/>
              </w:rPr>
            </w:pPr>
            <w:r>
              <w:rPr>
                <w:rFonts w:hint="default" w:ascii="华文楷体" w:hAnsi="华文楷体" w:eastAsia="华文楷体" w:cs="华文楷体"/>
                <w:b/>
                <w:color w:val="auto"/>
                <w:kern w:val="0"/>
                <w:sz w:val="24"/>
                <w:szCs w:val="24"/>
                <w:highlight w:val="none"/>
              </w:rPr>
              <w:t>合计（元）：</w:t>
            </w:r>
          </w:p>
        </w:tc>
        <w:tc>
          <w:tcPr>
            <w:tcW w:w="584" w:type="pct"/>
            <w:tcBorders>
              <w:top w:val="single" w:color="auto" w:sz="4" w:space="0"/>
              <w:left w:val="single" w:color="auto" w:sz="4" w:space="0"/>
              <w:bottom w:val="single" w:color="auto" w:sz="4" w:space="0"/>
              <w:right w:val="single" w:color="auto" w:sz="4" w:space="0"/>
            </w:tcBorders>
            <w:vAlign w:val="center"/>
          </w:tcPr>
          <w:p w14:paraId="3B74E264">
            <w:pPr>
              <w:keepNext w:val="0"/>
              <w:keepLines w:val="0"/>
              <w:suppressLineNumbers w:val="0"/>
              <w:spacing w:before="0" w:beforeAutospacing="0" w:after="0" w:afterAutospacing="0"/>
              <w:ind w:left="0" w:right="0"/>
              <w:jc w:val="center"/>
              <w:rPr>
                <w:rFonts w:hint="default" w:ascii="华文楷体" w:hAnsi="华文楷体" w:eastAsia="华文楷体" w:cs="华文楷体"/>
                <w:b/>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vAlign w:val="center"/>
          </w:tcPr>
          <w:p w14:paraId="73BAA25F">
            <w:pPr>
              <w:keepNext w:val="0"/>
              <w:keepLines w:val="0"/>
              <w:suppressLineNumbers w:val="0"/>
              <w:spacing w:before="0" w:beforeAutospacing="0" w:after="0" w:afterAutospacing="0"/>
              <w:ind w:left="0" w:right="0"/>
              <w:jc w:val="center"/>
              <w:rPr>
                <w:rFonts w:hint="default" w:ascii="华文楷体" w:hAnsi="华文楷体" w:eastAsia="华文楷体" w:cs="华文楷体"/>
                <w:b/>
                <w:color w:val="auto"/>
                <w:kern w:val="0"/>
                <w:sz w:val="24"/>
                <w:szCs w:val="24"/>
                <w:highlight w:val="none"/>
              </w:rPr>
            </w:pPr>
          </w:p>
        </w:tc>
      </w:tr>
    </w:tbl>
    <w:p w14:paraId="5B505209">
      <w:pPr>
        <w:rPr>
          <w:rFonts w:ascii="宋体" w:hAnsi="宋体" w:cs="宋体"/>
          <w:color w:val="auto"/>
          <w:sz w:val="24"/>
          <w:szCs w:val="24"/>
          <w:highlight w:val="none"/>
        </w:rPr>
      </w:pPr>
    </w:p>
    <w:p w14:paraId="7FAF27CC">
      <w:pPr>
        <w:spacing w:line="360" w:lineRule="auto"/>
        <w:rPr>
          <w:rFonts w:ascii="宋体" w:hAnsi="宋体" w:cs="宋体"/>
          <w:color w:val="auto"/>
          <w:sz w:val="24"/>
          <w:szCs w:val="24"/>
          <w:highlight w:val="none"/>
        </w:rPr>
        <w:sectPr>
          <w:footerReference r:id="rId10" w:type="default"/>
          <w:pgSz w:w="11906" w:h="16838"/>
          <w:pgMar w:top="1440" w:right="1800" w:bottom="1440" w:left="1800" w:header="851" w:footer="992" w:gutter="0"/>
          <w:pgNumType w:fmt="decimal" w:start="1"/>
          <w:cols w:space="720" w:num="1"/>
          <w:docGrid w:type="lines" w:linePitch="312" w:charSpace="0"/>
        </w:sectPr>
      </w:pPr>
    </w:p>
    <w:p w14:paraId="36998AAA">
      <w:pPr>
        <w:spacing w:line="360" w:lineRule="auto"/>
        <w:rPr>
          <w:rFonts w:ascii="宋体" w:hAnsi="宋体" w:cs="宋体"/>
          <w:color w:val="auto"/>
          <w:sz w:val="24"/>
          <w:szCs w:val="24"/>
          <w:highlight w:val="none"/>
        </w:rPr>
      </w:pPr>
      <w:r>
        <w:rPr>
          <w:rFonts w:ascii="宋体" w:hAnsi="宋体" w:cs="宋体"/>
          <w:color w:val="auto"/>
          <w:sz w:val="24"/>
          <w:szCs w:val="24"/>
          <w:highlight w:val="none"/>
        </w:rPr>
        <w:t>附件2：</w:t>
      </w:r>
      <w:r>
        <w:rPr>
          <w:rFonts w:hint="eastAsia" w:ascii="宋体" w:hAnsi="宋体" w:cs="宋体"/>
          <w:color w:val="auto"/>
          <w:sz w:val="24"/>
          <w:szCs w:val="24"/>
          <w:highlight w:val="none"/>
        </w:rPr>
        <w:t>《</w:t>
      </w:r>
      <w:r>
        <w:rPr>
          <w:rFonts w:ascii="宋体" w:hAnsi="宋体" w:cs="宋体"/>
          <w:color w:val="auto"/>
          <w:sz w:val="24"/>
          <w:szCs w:val="24"/>
          <w:highlight w:val="none"/>
        </w:rPr>
        <w:t>厦门市大宗货物政府采购供货验收单</w:t>
      </w:r>
      <w:r>
        <w:rPr>
          <w:rFonts w:hint="eastAsia" w:ascii="宋体" w:hAnsi="宋体" w:cs="宋体"/>
          <w:color w:val="auto"/>
          <w:sz w:val="24"/>
          <w:szCs w:val="24"/>
          <w:highlight w:val="none"/>
        </w:rPr>
        <w:t>》</w:t>
      </w:r>
    </w:p>
    <w:p w14:paraId="4FC1C3A8">
      <w:pPr>
        <w:spacing w:line="360" w:lineRule="auto"/>
        <w:rPr>
          <w:rFonts w:ascii="宋体" w:hAnsi="宋体" w:cs="宋体"/>
          <w:color w:val="auto"/>
          <w:sz w:val="24"/>
          <w:szCs w:val="24"/>
          <w:highlight w:val="none"/>
        </w:rPr>
      </w:pPr>
      <w:r>
        <w:rPr>
          <w:rFonts w:ascii="宋体" w:hAnsi="宋体" w:cs="宋体"/>
          <w:b/>
          <w:bCs/>
          <w:color w:val="auto"/>
          <w:sz w:val="24"/>
          <w:szCs w:val="24"/>
          <w:highlight w:val="none"/>
        </w:rPr>
        <w:drawing>
          <wp:inline distT="0" distB="0" distL="0" distR="0">
            <wp:extent cx="5273675" cy="7527925"/>
            <wp:effectExtent l="0" t="0" r="1460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8"/>
                    <a:srcRect/>
                    <a:stretch>
                      <a:fillRect/>
                    </a:stretch>
                  </pic:blipFill>
                  <pic:spPr>
                    <a:xfrm>
                      <a:off x="0" y="0"/>
                      <a:ext cx="5273675" cy="7527925"/>
                    </a:xfrm>
                    <a:prstGeom prst="rect">
                      <a:avLst/>
                    </a:prstGeom>
                    <a:noFill/>
                    <a:ln w="9525">
                      <a:noFill/>
                      <a:miter lim="800000"/>
                      <a:headEnd/>
                      <a:tailEnd/>
                    </a:ln>
                  </pic:spPr>
                </pic:pic>
              </a:graphicData>
            </a:graphic>
          </wp:inline>
        </w:drawing>
      </w:r>
    </w:p>
    <w:p w14:paraId="64FCC95A">
      <w:pPr>
        <w:spacing w:line="360" w:lineRule="auto"/>
        <w:jc w:val="center"/>
        <w:rPr>
          <w:rFonts w:ascii="宋体" w:hAnsi="宋体" w:cs="宋体"/>
          <w:b/>
          <w:bCs/>
          <w:color w:val="auto"/>
          <w:sz w:val="24"/>
          <w:szCs w:val="24"/>
          <w:highlight w:val="none"/>
        </w:rPr>
      </w:pPr>
    </w:p>
    <w:p w14:paraId="182C8158">
      <w:pPr>
        <w:spacing w:line="360" w:lineRule="auto"/>
        <w:rPr>
          <w:rFonts w:ascii="宋体" w:hAnsi="宋体" w:cs="宋体"/>
          <w:color w:val="auto"/>
          <w:sz w:val="24"/>
          <w:szCs w:val="24"/>
          <w:highlight w:val="none"/>
        </w:rPr>
      </w:pPr>
    </w:p>
    <w:p w14:paraId="00386B38">
      <w:pPr>
        <w:rPr>
          <w:rFonts w:ascii="宋体" w:hAnsi="宋体" w:cs="宋体"/>
          <w:b/>
          <w:bCs/>
          <w:color w:val="auto"/>
          <w:sz w:val="24"/>
          <w:szCs w:val="24"/>
          <w:highlight w:val="none"/>
        </w:rPr>
      </w:pPr>
      <w:r>
        <w:rPr>
          <w:rFonts w:hint="eastAsia" w:ascii="宋体" w:hAnsi="宋体" w:cs="宋体"/>
          <w:b/>
          <w:bCs/>
          <w:color w:val="auto"/>
          <w:sz w:val="24"/>
          <w:szCs w:val="24"/>
          <w:highlight w:val="none"/>
        </w:rPr>
        <w:br w:type="page"/>
      </w:r>
    </w:p>
    <w:p w14:paraId="0D1E9463">
      <w:pPr>
        <w:spacing w:line="360" w:lineRule="auto"/>
        <w:ind w:firstLine="2891" w:firstLineChars="1200"/>
        <w:rPr>
          <w:rFonts w:ascii="宋体" w:hAnsi="宋体" w:cs="宋体"/>
          <w:b/>
          <w:bCs/>
          <w:color w:val="auto"/>
          <w:sz w:val="24"/>
          <w:szCs w:val="24"/>
          <w:highlight w:val="none"/>
        </w:rPr>
      </w:pPr>
      <w:r>
        <w:rPr>
          <w:rFonts w:hint="eastAsia" w:ascii="宋体" w:hAnsi="宋体" w:cs="宋体"/>
          <w:b/>
          <w:bCs/>
          <w:color w:val="auto"/>
          <w:sz w:val="24"/>
          <w:szCs w:val="24"/>
          <w:highlight w:val="none"/>
        </w:rPr>
        <w:t>XM2025—</w:t>
      </w:r>
      <w:r>
        <w:rPr>
          <w:rFonts w:hint="eastAsia" w:ascii="宋体" w:hAnsi="宋体" w:cs="宋体"/>
          <w:b/>
          <w:bCs/>
          <w:color w:val="auto"/>
          <w:sz w:val="24"/>
          <w:szCs w:val="24"/>
          <w:highlight w:val="none"/>
          <w:lang w:eastAsia="zh-CN"/>
        </w:rPr>
        <w:t>DZ0042</w:t>
      </w:r>
      <w:r>
        <w:rPr>
          <w:rFonts w:hint="eastAsia" w:ascii="宋体" w:hAnsi="宋体" w:cs="宋体"/>
          <w:b/>
          <w:bCs/>
          <w:color w:val="auto"/>
          <w:sz w:val="24"/>
          <w:szCs w:val="24"/>
          <w:highlight w:val="none"/>
        </w:rPr>
        <w:t>买卖合同</w:t>
      </w:r>
    </w:p>
    <w:p w14:paraId="659ED162">
      <w:pPr>
        <w:spacing w:line="360" w:lineRule="auto"/>
        <w:ind w:right="480"/>
        <w:jc w:val="center"/>
        <w:rPr>
          <w:rFonts w:ascii="宋体" w:hAnsi="宋体" w:cs="宋体"/>
          <w:color w:val="auto"/>
          <w:sz w:val="24"/>
          <w:szCs w:val="24"/>
          <w:highlight w:val="none"/>
        </w:rPr>
      </w:pPr>
    </w:p>
    <w:p w14:paraId="64551770">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1144A2E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买方： </w:t>
      </w:r>
    </w:p>
    <w:p w14:paraId="3FCF864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卖方：厦门万翔网络商务有限公司</w:t>
      </w:r>
    </w:p>
    <w:p w14:paraId="0451250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买方委托卖方采购       ，现根据项目编号:</w:t>
      </w:r>
      <w:r>
        <w:rPr>
          <w:rFonts w:hint="eastAsia" w:ascii="宋体" w:hAnsi="宋体" w:cs="宋体"/>
          <w:color w:val="auto"/>
          <w:sz w:val="24"/>
          <w:szCs w:val="24"/>
          <w:highlight w:val="none"/>
          <w:u w:val="single"/>
        </w:rPr>
        <w:t>XM2025-</w:t>
      </w:r>
      <w:r>
        <w:rPr>
          <w:rFonts w:hint="eastAsia" w:ascii="宋体" w:hAnsi="宋体" w:cs="宋体"/>
          <w:color w:val="auto"/>
          <w:sz w:val="24"/>
          <w:szCs w:val="24"/>
          <w:highlight w:val="none"/>
          <w:u w:val="single"/>
          <w:lang w:eastAsia="zh-CN"/>
        </w:rPr>
        <w:t>DZ0042</w:t>
      </w:r>
      <w:r>
        <w:rPr>
          <w:rFonts w:hint="eastAsia" w:ascii="宋体" w:hAnsi="宋体" w:cs="宋体"/>
          <w:color w:val="auto"/>
          <w:sz w:val="24"/>
          <w:szCs w:val="24"/>
          <w:highlight w:val="none"/>
        </w:rPr>
        <w:t>的采购文件、</w:t>
      </w:r>
      <w:r>
        <w:rPr>
          <w:rFonts w:hint="eastAsia" w:ascii="宋体" w:hAnsi="宋体" w:cs="宋体"/>
          <w:color w:val="auto"/>
          <w:sz w:val="24"/>
          <w:szCs w:val="24"/>
          <w:highlight w:val="none"/>
          <w:lang w:val="en-US" w:eastAsia="zh-CN"/>
        </w:rPr>
        <w:t>投标</w:t>
      </w:r>
      <w:r>
        <w:rPr>
          <w:rFonts w:hint="eastAsia" w:ascii="宋体" w:hAnsi="宋体" w:cs="宋体"/>
          <w:color w:val="auto"/>
          <w:sz w:val="24"/>
          <w:szCs w:val="24"/>
          <w:highlight w:val="none"/>
        </w:rPr>
        <w:t>文件以及评审结果通知书（</w:t>
      </w:r>
      <w:r>
        <w:rPr>
          <w:rFonts w:hint="eastAsia" w:ascii="宋体" w:hAnsi="宋体" w:cs="宋体"/>
          <w:color w:val="auto"/>
          <w:sz w:val="24"/>
          <w:szCs w:val="24"/>
          <w:highlight w:val="none"/>
          <w:lang w:eastAsia="zh-CN"/>
        </w:rPr>
        <w:t>中标供应商</w:t>
      </w:r>
      <w:r>
        <w:rPr>
          <w:rFonts w:hint="eastAsia" w:ascii="宋体" w:hAnsi="宋体" w:cs="宋体"/>
          <w:color w:val="auto"/>
          <w:sz w:val="24"/>
          <w:szCs w:val="24"/>
          <w:highlight w:val="none"/>
        </w:rPr>
        <w:t>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），买卖双方经协商一致，就</w:t>
      </w:r>
      <w:r>
        <w:rPr>
          <w:rFonts w:hint="eastAsia" w:ascii="宋体" w:hAnsi="宋体" w:cs="宋体"/>
          <w:color w:val="auto"/>
          <w:sz w:val="24"/>
          <w:szCs w:val="24"/>
          <w:highlight w:val="none"/>
        </w:rPr>
        <w:t>中标供应商</w:t>
      </w:r>
      <w:r>
        <w:rPr>
          <w:rFonts w:hint="eastAsia" w:ascii="宋体" w:hAnsi="宋体" w:cs="宋体"/>
          <w:color w:val="auto"/>
          <w:sz w:val="24"/>
          <w:szCs w:val="24"/>
          <w:highlight w:val="none"/>
          <w:lang w:val="en-US" w:eastAsia="zh-CN"/>
        </w:rPr>
        <w:t>按合同约定/买方需求对合同标的物进行送货、安装及履行售后服务等义务，卖方负责协助配合买方及中标供应商履行合同约定</w:t>
      </w:r>
      <w:r>
        <w:rPr>
          <w:rFonts w:hint="eastAsia" w:ascii="宋体" w:hAnsi="宋体" w:cs="宋体"/>
          <w:color w:val="auto"/>
          <w:sz w:val="24"/>
          <w:szCs w:val="24"/>
          <w:highlight w:val="none"/>
        </w:rPr>
        <w:t>，特制定本合同，以资共同遵守：</w:t>
      </w:r>
    </w:p>
    <w:p w14:paraId="412D3B22">
      <w:pPr>
        <w:tabs>
          <w:tab w:val="left" w:pos="315"/>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1、合同标的物和价格（详见附件）</w:t>
      </w:r>
    </w:p>
    <w:tbl>
      <w:tblPr>
        <w:tblStyle w:val="12"/>
        <w:tblW w:w="8365" w:type="dxa"/>
        <w:tblInd w:w="103" w:type="dxa"/>
        <w:tblLayout w:type="fixed"/>
        <w:tblCellMar>
          <w:top w:w="0" w:type="dxa"/>
          <w:left w:w="108" w:type="dxa"/>
          <w:bottom w:w="0" w:type="dxa"/>
          <w:right w:w="108" w:type="dxa"/>
        </w:tblCellMar>
      </w:tblPr>
      <w:tblGrid>
        <w:gridCol w:w="1281"/>
        <w:gridCol w:w="2268"/>
        <w:gridCol w:w="1817"/>
        <w:gridCol w:w="1338"/>
        <w:gridCol w:w="1661"/>
      </w:tblGrid>
      <w:tr w14:paraId="2FE8F017">
        <w:tblPrEx>
          <w:tblCellMar>
            <w:top w:w="0" w:type="dxa"/>
            <w:left w:w="108" w:type="dxa"/>
            <w:bottom w:w="0" w:type="dxa"/>
            <w:right w:w="108" w:type="dxa"/>
          </w:tblCellMar>
        </w:tblPrEx>
        <w:trPr>
          <w:trHeight w:val="615" w:hRule="atLeast"/>
        </w:trPr>
        <w:tc>
          <w:tcPr>
            <w:tcW w:w="1281" w:type="dxa"/>
            <w:tcBorders>
              <w:top w:val="single" w:color="auto" w:sz="4" w:space="0"/>
              <w:left w:val="single" w:color="auto" w:sz="4" w:space="0"/>
              <w:bottom w:val="single" w:color="auto" w:sz="4" w:space="0"/>
              <w:right w:val="single" w:color="auto" w:sz="4" w:space="0"/>
            </w:tcBorders>
            <w:vAlign w:val="center"/>
          </w:tcPr>
          <w:p w14:paraId="198F8849">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68" w:type="dxa"/>
            <w:tcBorders>
              <w:top w:val="single" w:color="auto" w:sz="4" w:space="0"/>
              <w:left w:val="nil"/>
              <w:bottom w:val="single" w:color="auto" w:sz="4" w:space="0"/>
              <w:right w:val="single" w:color="auto" w:sz="4" w:space="0"/>
            </w:tcBorders>
            <w:vAlign w:val="center"/>
          </w:tcPr>
          <w:p w14:paraId="071EEE2F">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17" w:type="dxa"/>
            <w:tcBorders>
              <w:top w:val="single" w:color="auto" w:sz="4" w:space="0"/>
              <w:left w:val="nil"/>
              <w:bottom w:val="single" w:color="auto" w:sz="4" w:space="0"/>
              <w:right w:val="single" w:color="auto" w:sz="4" w:space="0"/>
            </w:tcBorders>
            <w:vAlign w:val="center"/>
          </w:tcPr>
          <w:p w14:paraId="2AE708DA">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338" w:type="dxa"/>
            <w:tcBorders>
              <w:top w:val="single" w:color="auto" w:sz="4" w:space="0"/>
              <w:left w:val="nil"/>
              <w:bottom w:val="single" w:color="auto" w:sz="4" w:space="0"/>
              <w:right w:val="single" w:color="auto" w:sz="4" w:space="0"/>
            </w:tcBorders>
            <w:vAlign w:val="center"/>
          </w:tcPr>
          <w:p w14:paraId="74F975F7">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661" w:type="dxa"/>
            <w:tcBorders>
              <w:top w:val="single" w:color="auto" w:sz="4" w:space="0"/>
              <w:left w:val="nil"/>
              <w:bottom w:val="single" w:color="auto" w:sz="4" w:space="0"/>
              <w:right w:val="single" w:color="auto" w:sz="4" w:space="0"/>
            </w:tcBorders>
            <w:vAlign w:val="center"/>
          </w:tcPr>
          <w:p w14:paraId="3CB884AA">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合同总价，金额</w:t>
            </w:r>
          </w:p>
        </w:tc>
      </w:tr>
      <w:tr w14:paraId="407644D3">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7D7DBD40">
            <w:pPr>
              <w:keepNext w:val="0"/>
              <w:keepLines w:val="0"/>
              <w:widowControl/>
              <w:suppressLineNumbers w:val="0"/>
              <w:spacing w:before="0" w:beforeAutospacing="0" w:after="0" w:afterAutospacing="0" w:line="360" w:lineRule="auto"/>
              <w:ind w:left="0" w:right="0" w:firstLine="240" w:firstLineChars="100"/>
              <w:jc w:val="left"/>
              <w:rPr>
                <w:rFonts w:hint="default" w:ascii="宋体" w:hAnsi="宋体" w:cs="宋体"/>
                <w:color w:val="auto"/>
                <w:kern w:val="0"/>
                <w:sz w:val="24"/>
                <w:szCs w:val="24"/>
                <w:highlight w:val="none"/>
              </w:rPr>
            </w:pPr>
            <w:r>
              <w:rPr>
                <w:rFonts w:hint="eastAsia" w:ascii="宋体" w:hAnsi="宋体" w:cs="宋体"/>
                <w:color w:val="auto"/>
                <w:sz w:val="24"/>
                <w:szCs w:val="24"/>
                <w:highlight w:val="none"/>
              </w:rPr>
              <w:t xml:space="preserve"> </w:t>
            </w:r>
          </w:p>
        </w:tc>
        <w:tc>
          <w:tcPr>
            <w:tcW w:w="2268" w:type="dxa"/>
            <w:tcBorders>
              <w:top w:val="nil"/>
              <w:left w:val="nil"/>
              <w:bottom w:val="single" w:color="auto" w:sz="4" w:space="0"/>
              <w:right w:val="single" w:color="auto" w:sz="4" w:space="0"/>
            </w:tcBorders>
            <w:vAlign w:val="center"/>
          </w:tcPr>
          <w:p w14:paraId="7C482BC3">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1817" w:type="dxa"/>
            <w:tcBorders>
              <w:top w:val="nil"/>
              <w:left w:val="single" w:color="auto" w:sz="4" w:space="0"/>
              <w:bottom w:val="single" w:color="auto" w:sz="4" w:space="0"/>
              <w:right w:val="single" w:color="auto" w:sz="4" w:space="0"/>
            </w:tcBorders>
            <w:vAlign w:val="center"/>
          </w:tcPr>
          <w:p w14:paraId="5D6051D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1338" w:type="dxa"/>
            <w:tcBorders>
              <w:top w:val="nil"/>
              <w:left w:val="nil"/>
              <w:bottom w:val="single" w:color="auto" w:sz="4" w:space="0"/>
              <w:right w:val="single" w:color="auto" w:sz="4" w:space="0"/>
            </w:tcBorders>
            <w:vAlign w:val="center"/>
          </w:tcPr>
          <w:p w14:paraId="4147F542">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sz w:val="24"/>
                <w:szCs w:val="24"/>
                <w:highlight w:val="none"/>
              </w:rPr>
              <w:t>1批（详见附件：价格清单）</w:t>
            </w:r>
          </w:p>
        </w:tc>
        <w:tc>
          <w:tcPr>
            <w:tcW w:w="1661" w:type="dxa"/>
            <w:tcBorders>
              <w:top w:val="nil"/>
              <w:left w:val="nil"/>
              <w:bottom w:val="single" w:color="auto" w:sz="4" w:space="0"/>
              <w:right w:val="single" w:color="auto" w:sz="4" w:space="0"/>
            </w:tcBorders>
            <w:vAlign w:val="center"/>
          </w:tcPr>
          <w:p w14:paraId="09B74D18">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p>
        </w:tc>
      </w:tr>
      <w:tr w14:paraId="0FF471DF">
        <w:tblPrEx>
          <w:tblCellMar>
            <w:top w:w="0" w:type="dxa"/>
            <w:left w:w="108" w:type="dxa"/>
            <w:bottom w:w="0" w:type="dxa"/>
            <w:right w:w="108" w:type="dxa"/>
          </w:tblCellMar>
        </w:tblPrEx>
        <w:trPr>
          <w:trHeight w:val="540" w:hRule="atLeast"/>
        </w:trPr>
        <w:tc>
          <w:tcPr>
            <w:tcW w:w="8365" w:type="dxa"/>
            <w:gridSpan w:val="5"/>
            <w:tcBorders>
              <w:top w:val="single" w:color="auto" w:sz="4" w:space="0"/>
              <w:left w:val="single" w:color="auto" w:sz="4" w:space="0"/>
              <w:bottom w:val="single" w:color="auto" w:sz="4" w:space="0"/>
              <w:right w:val="single" w:color="000000" w:sz="4" w:space="0"/>
            </w:tcBorders>
            <w:vAlign w:val="center"/>
          </w:tcPr>
          <w:p w14:paraId="764FD12F">
            <w:pPr>
              <w:keepNext w:val="0"/>
              <w:keepLines w:val="0"/>
              <w:widowControl/>
              <w:suppressLineNumbers w:val="0"/>
              <w:tabs>
                <w:tab w:val="left" w:pos="0"/>
              </w:tabs>
              <w:adjustRightInd w:val="0"/>
              <w:spacing w:before="0" w:beforeAutospacing="0" w:after="0" w:afterAutospacing="0" w:line="360" w:lineRule="auto"/>
              <w:ind w:left="0" w:right="0" w:firstLine="482" w:firstLineChars="200"/>
              <w:rPr>
                <w:rFonts w:hint="default" w:ascii="宋体" w:hAnsi="宋体" w:cs="宋体"/>
                <w:b/>
                <w:color w:val="auto"/>
                <w:sz w:val="24"/>
                <w:szCs w:val="24"/>
                <w:highlight w:val="none"/>
              </w:rPr>
            </w:pPr>
            <w:r>
              <w:rPr>
                <w:rFonts w:hint="eastAsia" w:ascii="宋体" w:hAnsi="宋体" w:cs="宋体"/>
                <w:b/>
                <w:bCs/>
                <w:color w:val="auto"/>
                <w:kern w:val="0"/>
                <w:sz w:val="24"/>
                <w:szCs w:val="24"/>
                <w:highlight w:val="none"/>
              </w:rPr>
              <w:t>合同总价（中标总价）：</w:t>
            </w:r>
            <w:r>
              <w:rPr>
                <w:rFonts w:hint="eastAsia" w:ascii="宋体" w:hAnsi="宋体" w:cs="宋体"/>
                <w:b/>
                <w:bCs/>
                <w:color w:val="auto"/>
                <w:sz w:val="24"/>
                <w:szCs w:val="24"/>
                <w:highlight w:val="none"/>
              </w:rPr>
              <w:t>人民币</w:t>
            </w:r>
            <w:r>
              <w:rPr>
                <w:rFonts w:hint="eastAsia" w:ascii="宋体" w:hAnsi="宋体" w:cs="宋体"/>
                <w:b/>
                <w:bCs/>
                <w:color w:val="auto"/>
                <w:sz w:val="24"/>
                <w:szCs w:val="24"/>
                <w:highlight w:val="none"/>
                <w:u w:val="single"/>
              </w:rPr>
              <w:t xml:space="preserve">        </w:t>
            </w:r>
            <w:r>
              <w:rPr>
                <w:rFonts w:hint="eastAsia" w:ascii="宋体" w:hAnsi="宋体" w:cs="宋体"/>
                <w:b/>
                <w:bCs/>
                <w:color w:val="auto"/>
                <w:kern w:val="0"/>
                <w:sz w:val="24"/>
                <w:szCs w:val="24"/>
                <w:highlight w:val="none"/>
              </w:rPr>
              <w:t>元整</w:t>
            </w:r>
            <w:r>
              <w:rPr>
                <w:rFonts w:hint="eastAsia" w:ascii="宋体" w:hAnsi="宋体" w:cs="宋体"/>
                <w:bCs/>
                <w:color w:val="auto"/>
                <w:sz w:val="24"/>
                <w:szCs w:val="24"/>
                <w:highlight w:val="none"/>
              </w:rPr>
              <w:t>。货物验收后的质保、保修等售后服务由</w:t>
            </w:r>
            <w:r>
              <w:rPr>
                <w:rFonts w:hint="eastAsia" w:ascii="宋体" w:hAnsi="宋体" w:cs="宋体"/>
                <w:bCs/>
                <w:color w:val="auto"/>
                <w:sz w:val="24"/>
                <w:szCs w:val="24"/>
                <w:highlight w:val="none"/>
                <w:u w:val="single"/>
                <w:lang w:eastAsia="zh-CN"/>
              </w:rPr>
              <w:t>中标供应商</w:t>
            </w:r>
            <w:r>
              <w:rPr>
                <w:rFonts w:hint="eastAsia" w:ascii="宋体" w:hAnsi="宋体" w:cs="宋体"/>
                <w:bCs/>
                <w:color w:val="auto"/>
                <w:kern w:val="0"/>
                <w:sz w:val="24"/>
                <w:szCs w:val="24"/>
                <w:highlight w:val="none"/>
                <w:u w:val="single"/>
              </w:rPr>
              <w:t>提供，</w:t>
            </w:r>
            <w:r>
              <w:rPr>
                <w:rFonts w:hint="eastAsia" w:ascii="宋体" w:hAnsi="宋体" w:cs="宋体"/>
                <w:bCs/>
                <w:color w:val="auto"/>
                <w:kern w:val="0"/>
                <w:sz w:val="24"/>
                <w:szCs w:val="24"/>
                <w:highlight w:val="none"/>
                <w:u w:val="single"/>
                <w:lang w:eastAsia="zh-CN"/>
              </w:rPr>
              <w:t>中标供应商</w:t>
            </w:r>
            <w:r>
              <w:rPr>
                <w:rFonts w:hint="eastAsia" w:ascii="宋体" w:hAnsi="宋体" w:cs="宋体"/>
                <w:bCs/>
                <w:color w:val="auto"/>
                <w:kern w:val="0"/>
                <w:sz w:val="24"/>
                <w:szCs w:val="24"/>
                <w:highlight w:val="none"/>
                <w:u w:val="single"/>
              </w:rPr>
              <w:t>应按照《采购合同》及采购文件要求提供售后服务，卖方不向买方承担保修等售后服务</w:t>
            </w:r>
            <w:r>
              <w:rPr>
                <w:rFonts w:hint="default" w:ascii="宋体" w:hAnsi="宋体" w:cs="宋体"/>
                <w:bCs/>
                <w:color w:val="auto"/>
                <w:kern w:val="0"/>
                <w:sz w:val="24"/>
                <w:szCs w:val="24"/>
                <w:highlight w:val="none"/>
                <w:u w:val="single"/>
              </w:rPr>
              <w:t>义务</w:t>
            </w:r>
            <w:r>
              <w:rPr>
                <w:rFonts w:hint="eastAsia" w:ascii="宋体" w:hAnsi="宋体" w:cs="宋体"/>
                <w:bCs/>
                <w:color w:val="auto"/>
                <w:sz w:val="24"/>
                <w:szCs w:val="24"/>
                <w:highlight w:val="none"/>
              </w:rPr>
              <w:t>。</w:t>
            </w:r>
          </w:p>
        </w:tc>
      </w:tr>
    </w:tbl>
    <w:p w14:paraId="6406E06F">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4D144CD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2.1交货期：合同签订后，</w:t>
      </w:r>
      <w:r>
        <w:rPr>
          <w:rFonts w:hint="eastAsia" w:ascii="宋体" w:hAnsi="宋体"/>
          <w:bCs/>
          <w:color w:val="auto"/>
          <w:sz w:val="24"/>
          <w:szCs w:val="24"/>
          <w:highlight w:val="none"/>
          <w:lang w:val="en-US" w:eastAsia="zh-CN"/>
        </w:rPr>
        <w:t>中标供应商</w:t>
      </w:r>
      <w:r>
        <w:rPr>
          <w:rFonts w:hint="eastAsia" w:ascii="宋体" w:hAnsi="宋体"/>
          <w:bCs/>
          <w:color w:val="auto"/>
          <w:sz w:val="24"/>
          <w:szCs w:val="24"/>
          <w:highlight w:val="none"/>
        </w:rPr>
        <w:t>收到买方通知</w:t>
      </w:r>
      <w:r>
        <w:rPr>
          <w:rFonts w:hint="eastAsia" w:ascii="宋体" w:hAnsi="宋体" w:cs="宋体"/>
          <w:color w:val="auto"/>
          <w:sz w:val="24"/>
          <w:szCs w:val="24"/>
          <w:highlight w:val="none"/>
        </w:rPr>
        <w:t>之日起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个日历日内（含交货、安装完成并提交买方验收）。</w:t>
      </w:r>
    </w:p>
    <w:p w14:paraId="0C6E98F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2.2交货地点：买方指定的地点。</w:t>
      </w:r>
    </w:p>
    <w:p w14:paraId="599F4EB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2.3到货签收：卖方每批次供货到买方指定地点后，买方应当对到货数量、型号等进行清点签收，买方应按第4条约定的付款条件向卖方支付约定的货款。</w:t>
      </w:r>
    </w:p>
    <w:p w14:paraId="03A6E12D">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3、验收</w:t>
      </w:r>
    </w:p>
    <w:p w14:paraId="1221050C">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3.1买方负责承担合同货物安装过程中相应的协调、配合工作。</w:t>
      </w:r>
    </w:p>
    <w:p w14:paraId="64833C1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3.2安装工作完成后，买方负责对合同货物进行验收。买方验收合格即视为最终验收合格；若无正当理由，买方超过30天仍未验收且未提出书面异议的，则视为最终验收合格。</w:t>
      </w:r>
    </w:p>
    <w:p w14:paraId="5D965957">
      <w:pPr>
        <w:widowControl/>
        <w:spacing w:after="0" w:line="360" w:lineRule="auto"/>
        <w:ind w:firstLine="24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3.3买方在货物安装完毕后发现货物存在问题的，应在货物交付后</w:t>
      </w:r>
      <w:r>
        <w:rPr>
          <w:rFonts w:hint="eastAsia" w:ascii="宋体" w:hAnsi="宋体" w:cs="宋体"/>
          <w:color w:val="auto"/>
          <w:sz w:val="24"/>
          <w:szCs w:val="24"/>
          <w:highlight w:val="none"/>
          <w:u w:val="none"/>
        </w:rPr>
        <w:t xml:space="preserve"> 5 </w:t>
      </w:r>
      <w:r>
        <w:rPr>
          <w:rFonts w:hint="eastAsia" w:ascii="宋体" w:hAnsi="宋体" w:cs="宋体"/>
          <w:color w:val="auto"/>
          <w:sz w:val="24"/>
          <w:szCs w:val="24"/>
          <w:highlight w:val="none"/>
        </w:rPr>
        <w:t>个工作日内向卖方提出书面异议，逾期提出书面异议的，视为最终验收合格。</w:t>
      </w:r>
    </w:p>
    <w:p w14:paraId="66B758D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3.4最终验收时，买方填写《厦门市大宗货物政府采购供货验收单》中货物相关信息，签署验收意见和加盖公章，并分别提供一份给</w:t>
      </w:r>
      <w:r>
        <w:rPr>
          <w:rFonts w:hint="eastAsia" w:ascii="宋体" w:hAnsi="宋体" w:cs="宋体"/>
          <w:color w:val="auto"/>
          <w:sz w:val="24"/>
          <w:szCs w:val="24"/>
          <w:highlight w:val="none"/>
          <w:lang w:eastAsia="zh-CN"/>
        </w:rPr>
        <w:t>中标供应商</w:t>
      </w:r>
      <w:r>
        <w:rPr>
          <w:rFonts w:hint="eastAsia" w:ascii="宋体" w:hAnsi="宋体" w:cs="宋体"/>
          <w:color w:val="auto"/>
          <w:sz w:val="24"/>
          <w:szCs w:val="24"/>
          <w:highlight w:val="none"/>
        </w:rPr>
        <w:t>和卖方。</w:t>
      </w:r>
    </w:p>
    <w:p w14:paraId="41FA9923">
      <w:pPr>
        <w:tabs>
          <w:tab w:val="left" w:pos="5130"/>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4、付款方式</w:t>
      </w:r>
    </w:p>
    <w:p w14:paraId="712B8705">
      <w:pPr>
        <w:tabs>
          <w:tab w:val="left" w:pos="5130"/>
        </w:tabs>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4.1</w:t>
      </w:r>
      <w:r>
        <w:rPr>
          <w:rFonts w:hint="eastAsia" w:ascii="宋体" w:hAnsi="宋体" w:cs="宋体"/>
          <w:b/>
          <w:color w:val="auto"/>
          <w:sz w:val="24"/>
          <w:szCs w:val="24"/>
          <w:highlight w:val="none"/>
        </w:rPr>
        <w:t>合同签订后，</w:t>
      </w:r>
      <w:r>
        <w:rPr>
          <w:rFonts w:hint="eastAsia" w:ascii="宋体"/>
          <w:b/>
          <w:bCs/>
          <w:color w:val="auto"/>
          <w:sz w:val="24"/>
          <w:highlight w:val="none"/>
        </w:rPr>
        <w:t>且卖方开具合同总价</w:t>
      </w:r>
      <w:r>
        <w:rPr>
          <w:rFonts w:hint="eastAsia" w:ascii="宋体"/>
          <w:b/>
          <w:bCs/>
          <w:color w:val="auto"/>
          <w:sz w:val="24"/>
          <w:highlight w:val="none"/>
          <w:lang w:val="en-US" w:eastAsia="zh-CN"/>
        </w:rPr>
        <w:t>6</w:t>
      </w:r>
      <w:r>
        <w:rPr>
          <w:rFonts w:hint="eastAsia" w:ascii="宋体"/>
          <w:b/>
          <w:bCs/>
          <w:color w:val="auto"/>
          <w:sz w:val="24"/>
          <w:highlight w:val="none"/>
        </w:rPr>
        <w:t>0%的</w:t>
      </w:r>
      <w:r>
        <w:rPr>
          <w:rFonts w:hint="eastAsia" w:ascii="宋体" w:hAnsi="宋体" w:cs="宋体"/>
          <w:b/>
          <w:color w:val="auto"/>
          <w:sz w:val="24"/>
          <w:szCs w:val="24"/>
          <w:highlight w:val="none"/>
        </w:rPr>
        <w:t>等额增值税</w:t>
      </w:r>
      <w:r>
        <w:rPr>
          <w:rFonts w:hint="eastAsia" w:ascii="宋体"/>
          <w:b/>
          <w:bCs/>
          <w:color w:val="auto"/>
          <w:sz w:val="24"/>
          <w:highlight w:val="none"/>
        </w:rPr>
        <w:t>正规发票后</w:t>
      </w:r>
      <w:r>
        <w:rPr>
          <w:rFonts w:hint="eastAsia" w:ascii="宋体" w:hAnsi="宋体" w:cs="宋体"/>
          <w:b/>
          <w:color w:val="auto"/>
          <w:sz w:val="24"/>
          <w:szCs w:val="24"/>
          <w:highlight w:val="none"/>
          <w:lang w:val="en-US" w:eastAsia="zh-CN"/>
        </w:rPr>
        <w:t>7</w:t>
      </w:r>
      <w:r>
        <w:rPr>
          <w:rFonts w:hint="eastAsia" w:ascii="宋体" w:hAnsi="宋体" w:cs="宋体"/>
          <w:b/>
          <w:color w:val="auto"/>
          <w:sz w:val="24"/>
          <w:szCs w:val="24"/>
          <w:highlight w:val="none"/>
        </w:rPr>
        <w:t>个工作日内</w:t>
      </w:r>
      <w:r>
        <w:rPr>
          <w:rFonts w:hint="eastAsia" w:ascii="宋体"/>
          <w:b/>
          <w:bCs/>
          <w:color w:val="auto"/>
          <w:sz w:val="24"/>
          <w:highlight w:val="none"/>
        </w:rPr>
        <w:t>，</w:t>
      </w:r>
      <w:r>
        <w:rPr>
          <w:rFonts w:hint="eastAsia" w:ascii="宋体" w:hAnsi="宋体" w:cs="宋体"/>
          <w:b/>
          <w:color w:val="auto"/>
          <w:sz w:val="24"/>
          <w:szCs w:val="24"/>
          <w:highlight w:val="none"/>
        </w:rPr>
        <w:t>买方向卖方支付合同总价</w:t>
      </w:r>
      <w:r>
        <w:rPr>
          <w:rFonts w:hint="eastAsia" w:ascii="宋体" w:hAnsi="宋体" w:cs="宋体"/>
          <w:b/>
          <w:color w:val="auto"/>
          <w:sz w:val="24"/>
          <w:szCs w:val="24"/>
          <w:highlight w:val="none"/>
          <w:lang w:val="en-US" w:eastAsia="zh-CN"/>
        </w:rPr>
        <w:t>6</w:t>
      </w:r>
      <w:r>
        <w:rPr>
          <w:rFonts w:ascii="宋体" w:hAnsi="宋体" w:cs="宋体"/>
          <w:b/>
          <w:color w:val="auto"/>
          <w:sz w:val="24"/>
          <w:szCs w:val="24"/>
          <w:highlight w:val="none"/>
        </w:rPr>
        <w:t>0%</w:t>
      </w:r>
      <w:r>
        <w:rPr>
          <w:rFonts w:hint="eastAsia" w:ascii="宋体" w:hAnsi="宋体" w:cs="宋体"/>
          <w:b/>
          <w:color w:val="auto"/>
          <w:sz w:val="24"/>
          <w:szCs w:val="24"/>
          <w:highlight w:val="none"/>
        </w:rPr>
        <w:t>的预付款。</w:t>
      </w:r>
    </w:p>
    <w:p w14:paraId="0FFD91C3">
      <w:pPr>
        <w:tabs>
          <w:tab w:val="left" w:pos="5130"/>
        </w:tabs>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4.2</w:t>
      </w:r>
      <w:r>
        <w:rPr>
          <w:rFonts w:hint="eastAsia" w:ascii="宋体"/>
          <w:b/>
          <w:bCs/>
          <w:color w:val="auto"/>
          <w:sz w:val="24"/>
          <w:highlight w:val="none"/>
          <w:lang w:eastAsia="zh-CN"/>
        </w:rPr>
        <w:t>中标供应商</w:t>
      </w:r>
      <w:r>
        <w:rPr>
          <w:rFonts w:hint="eastAsia" w:ascii="宋体" w:hAnsi="宋体" w:cs="宋体"/>
          <w:b/>
          <w:color w:val="auto"/>
          <w:sz w:val="24"/>
          <w:szCs w:val="24"/>
          <w:highlight w:val="none"/>
        </w:rPr>
        <w:t>供货安装、调试完毕，买方验收合格后，</w:t>
      </w:r>
      <w:r>
        <w:rPr>
          <w:rFonts w:hint="eastAsia" w:ascii="宋体"/>
          <w:b/>
          <w:bCs/>
          <w:color w:val="auto"/>
          <w:sz w:val="24"/>
          <w:highlight w:val="none"/>
        </w:rPr>
        <w:t>且</w:t>
      </w:r>
      <w:r>
        <w:rPr>
          <w:rFonts w:hint="eastAsia" w:ascii="宋体" w:hAnsi="宋体" w:cs="宋体"/>
          <w:b/>
          <w:color w:val="auto"/>
          <w:sz w:val="24"/>
          <w:szCs w:val="24"/>
          <w:highlight w:val="none"/>
        </w:rPr>
        <w:t>卖方开具合同总价</w:t>
      </w:r>
      <w:r>
        <w:rPr>
          <w:rFonts w:hint="eastAsia" w:ascii="宋体" w:hAnsi="宋体" w:cs="宋体"/>
          <w:b/>
          <w:color w:val="auto"/>
          <w:sz w:val="24"/>
          <w:szCs w:val="24"/>
          <w:highlight w:val="none"/>
          <w:lang w:val="en-US" w:eastAsia="zh-CN"/>
        </w:rPr>
        <w:t>4</w:t>
      </w:r>
      <w:r>
        <w:rPr>
          <w:rFonts w:ascii="宋体" w:hAnsi="宋体" w:cs="宋体"/>
          <w:b/>
          <w:color w:val="auto"/>
          <w:sz w:val="24"/>
          <w:szCs w:val="24"/>
          <w:highlight w:val="none"/>
        </w:rPr>
        <w:t>0%</w:t>
      </w:r>
      <w:r>
        <w:rPr>
          <w:rFonts w:hint="eastAsia" w:ascii="宋体"/>
          <w:b/>
          <w:bCs/>
          <w:color w:val="auto"/>
          <w:sz w:val="24"/>
          <w:highlight w:val="none"/>
        </w:rPr>
        <w:t>的</w:t>
      </w:r>
      <w:r>
        <w:rPr>
          <w:rFonts w:hint="eastAsia" w:ascii="宋体" w:hAnsi="宋体" w:cs="宋体"/>
          <w:b/>
          <w:color w:val="auto"/>
          <w:sz w:val="24"/>
          <w:szCs w:val="24"/>
          <w:highlight w:val="none"/>
        </w:rPr>
        <w:t>等额增值税</w:t>
      </w:r>
      <w:r>
        <w:rPr>
          <w:rFonts w:hint="eastAsia" w:ascii="宋体"/>
          <w:b/>
          <w:bCs/>
          <w:color w:val="auto"/>
          <w:sz w:val="24"/>
          <w:highlight w:val="none"/>
        </w:rPr>
        <w:t>正规发票和全部货物清单给买方后</w:t>
      </w:r>
      <w:r>
        <w:rPr>
          <w:rFonts w:hint="eastAsia" w:ascii="宋体" w:hAnsi="宋体" w:cs="宋体"/>
          <w:b/>
          <w:color w:val="auto"/>
          <w:sz w:val="24"/>
          <w:szCs w:val="24"/>
          <w:highlight w:val="none"/>
        </w:rPr>
        <w:t>，买方在</w:t>
      </w:r>
      <w:r>
        <w:rPr>
          <w:rFonts w:hint="eastAsia" w:ascii="宋体" w:hAnsi="宋体" w:cs="宋体"/>
          <w:b/>
          <w:color w:val="auto"/>
          <w:sz w:val="24"/>
          <w:szCs w:val="24"/>
          <w:highlight w:val="none"/>
          <w:lang w:val="en-US" w:eastAsia="zh-CN"/>
        </w:rPr>
        <w:t>7</w:t>
      </w:r>
      <w:r>
        <w:rPr>
          <w:rFonts w:hint="eastAsia" w:ascii="宋体" w:hAnsi="宋体" w:cs="宋体"/>
          <w:b/>
          <w:color w:val="auto"/>
          <w:sz w:val="24"/>
          <w:szCs w:val="24"/>
          <w:highlight w:val="none"/>
        </w:rPr>
        <w:t>个工作日内支付本合同总价</w:t>
      </w:r>
      <w:r>
        <w:rPr>
          <w:rFonts w:hint="eastAsia" w:ascii="宋体" w:hAnsi="宋体" w:cs="宋体"/>
          <w:b/>
          <w:color w:val="auto"/>
          <w:sz w:val="24"/>
          <w:szCs w:val="24"/>
          <w:highlight w:val="none"/>
          <w:lang w:val="en-US" w:eastAsia="zh-CN"/>
        </w:rPr>
        <w:t>4</w:t>
      </w:r>
      <w:r>
        <w:rPr>
          <w:rFonts w:ascii="宋体" w:hAnsi="宋体" w:cs="宋体"/>
          <w:b/>
          <w:color w:val="auto"/>
          <w:sz w:val="24"/>
          <w:szCs w:val="24"/>
          <w:highlight w:val="none"/>
        </w:rPr>
        <w:t>0%</w:t>
      </w:r>
      <w:r>
        <w:rPr>
          <w:rFonts w:hint="eastAsia" w:ascii="宋体" w:hAnsi="宋体" w:cs="宋体"/>
          <w:b/>
          <w:color w:val="auto"/>
          <w:sz w:val="24"/>
          <w:szCs w:val="24"/>
          <w:highlight w:val="none"/>
        </w:rPr>
        <w:t>的款项。</w:t>
      </w:r>
    </w:p>
    <w:p w14:paraId="12AC72C6">
      <w:pPr>
        <w:tabs>
          <w:tab w:val="left" w:pos="5130"/>
        </w:tabs>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4.3</w:t>
      </w:r>
      <w:r>
        <w:rPr>
          <w:rFonts w:hint="eastAsia" w:ascii="宋体" w:hAnsi="宋体" w:cs="宋体"/>
          <w:b/>
          <w:color w:val="auto"/>
          <w:sz w:val="24"/>
          <w:szCs w:val="24"/>
          <w:highlight w:val="none"/>
        </w:rPr>
        <w:t>付款时需具备以下材料：</w:t>
      </w:r>
    </w:p>
    <w:p w14:paraId="46D32695">
      <w:pPr>
        <w:tabs>
          <w:tab w:val="left" w:pos="5130"/>
        </w:tabs>
        <w:spacing w:line="360" w:lineRule="auto"/>
        <w:ind w:firstLine="723" w:firstLineChars="300"/>
        <w:rPr>
          <w:rFonts w:ascii="宋体"/>
          <w:b/>
          <w:bCs/>
          <w:color w:val="auto"/>
          <w:sz w:val="24"/>
          <w:highlight w:val="none"/>
        </w:rPr>
      </w:pPr>
      <w:r>
        <w:rPr>
          <w:rFonts w:hint="eastAsia" w:ascii="宋体" w:hAnsi="宋体" w:cs="宋体"/>
          <w:b/>
          <w:color w:val="auto"/>
          <w:sz w:val="24"/>
          <w:szCs w:val="24"/>
          <w:highlight w:val="none"/>
        </w:rPr>
        <w:t>（</w:t>
      </w:r>
      <w:r>
        <w:rPr>
          <w:rFonts w:ascii="宋体" w:hAnsi="宋体" w:cs="宋体"/>
          <w:b/>
          <w:color w:val="auto"/>
          <w:sz w:val="24"/>
          <w:szCs w:val="24"/>
          <w:highlight w:val="none"/>
        </w:rPr>
        <w:t>1</w:t>
      </w:r>
      <w:r>
        <w:rPr>
          <w:rFonts w:hint="eastAsia" w:ascii="宋体" w:hAnsi="宋体" w:cs="宋体"/>
          <w:b/>
          <w:color w:val="auto"/>
          <w:sz w:val="24"/>
          <w:szCs w:val="24"/>
          <w:highlight w:val="none"/>
        </w:rPr>
        <w:t>）</w:t>
      </w:r>
      <w:r>
        <w:rPr>
          <w:rFonts w:hint="eastAsia" w:ascii="宋体"/>
          <w:b/>
          <w:bCs/>
          <w:color w:val="auto"/>
          <w:sz w:val="24"/>
          <w:highlight w:val="none"/>
        </w:rPr>
        <w:t>一般纳税人增值税专用发票（需附货物清单）。</w:t>
      </w:r>
    </w:p>
    <w:p w14:paraId="2F8D34AE">
      <w:pPr>
        <w:tabs>
          <w:tab w:val="left" w:pos="5130"/>
        </w:tabs>
        <w:spacing w:line="360" w:lineRule="auto"/>
        <w:ind w:firstLine="723" w:firstLineChars="300"/>
        <w:rPr>
          <w:rFonts w:ascii="宋体" w:hAnsi="宋体" w:cs="宋体"/>
          <w:b/>
          <w:color w:val="auto"/>
          <w:sz w:val="24"/>
          <w:szCs w:val="24"/>
          <w:highlight w:val="none"/>
        </w:rPr>
      </w:pPr>
      <w:r>
        <w:rPr>
          <w:rFonts w:hint="eastAsia" w:ascii="宋体" w:hAnsi="宋体" w:cs="宋体"/>
          <w:b/>
          <w:color w:val="auto"/>
          <w:sz w:val="24"/>
          <w:szCs w:val="24"/>
          <w:highlight w:val="none"/>
        </w:rPr>
        <w:t>（</w:t>
      </w:r>
      <w:r>
        <w:rPr>
          <w:rFonts w:ascii="宋体" w:hAnsi="宋体" w:cs="宋体"/>
          <w:b/>
          <w:color w:val="auto"/>
          <w:sz w:val="24"/>
          <w:szCs w:val="24"/>
          <w:highlight w:val="none"/>
        </w:rPr>
        <w:t>2</w:t>
      </w:r>
      <w:r>
        <w:rPr>
          <w:rFonts w:hint="eastAsia" w:ascii="宋体" w:hAnsi="宋体" w:cs="宋体"/>
          <w:b/>
          <w:color w:val="auto"/>
          <w:sz w:val="24"/>
          <w:szCs w:val="24"/>
          <w:highlight w:val="none"/>
        </w:rPr>
        <w:t>）买方签署的《厦门市大宗货物政府采购供货验收单》。</w:t>
      </w:r>
    </w:p>
    <w:p w14:paraId="50357A39">
      <w:pPr>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4.4</w:t>
      </w:r>
      <w:r>
        <w:rPr>
          <w:rFonts w:hint="eastAsia" w:ascii="宋体" w:hAnsi="宋体" w:cs="宋体"/>
          <w:b/>
          <w:color w:val="auto"/>
          <w:sz w:val="24"/>
          <w:szCs w:val="24"/>
          <w:highlight w:val="none"/>
        </w:rPr>
        <w:t>卖方指定收款账户如下：</w:t>
      </w:r>
    </w:p>
    <w:p w14:paraId="752BF776">
      <w:pPr>
        <w:spacing w:line="360" w:lineRule="auto"/>
        <w:ind w:firstLine="723" w:firstLineChars="300"/>
        <w:rPr>
          <w:rFonts w:ascii="宋体" w:hAnsi="宋体" w:cs="宋体"/>
          <w:b/>
          <w:color w:val="auto"/>
          <w:sz w:val="24"/>
          <w:szCs w:val="24"/>
          <w:highlight w:val="none"/>
        </w:rPr>
      </w:pPr>
      <w:r>
        <w:rPr>
          <w:rFonts w:hint="eastAsia" w:ascii="宋体" w:hAnsi="宋体" w:cs="宋体"/>
          <w:b/>
          <w:color w:val="auto"/>
          <w:sz w:val="24"/>
          <w:szCs w:val="24"/>
          <w:highlight w:val="none"/>
        </w:rPr>
        <w:t>卖方全称：厦门万翔网络商务有限公司</w:t>
      </w:r>
    </w:p>
    <w:p w14:paraId="7875DFB6">
      <w:pPr>
        <w:spacing w:line="360" w:lineRule="auto"/>
        <w:ind w:firstLine="723" w:firstLineChars="300"/>
        <w:rPr>
          <w:rFonts w:ascii="宋体" w:hAnsi="宋体" w:cs="宋体"/>
          <w:b/>
          <w:color w:val="auto"/>
          <w:sz w:val="24"/>
          <w:szCs w:val="24"/>
          <w:highlight w:val="none"/>
        </w:rPr>
      </w:pPr>
      <w:r>
        <w:rPr>
          <w:rFonts w:hint="eastAsia" w:ascii="宋体" w:hAnsi="宋体" w:cs="宋体"/>
          <w:b/>
          <w:color w:val="auto"/>
          <w:sz w:val="24"/>
          <w:szCs w:val="24"/>
          <w:highlight w:val="none"/>
        </w:rPr>
        <w:t>开户行：中国建设银行股份有限公司厦门自贸试验区航空港支行</w:t>
      </w:r>
    </w:p>
    <w:p w14:paraId="5E24A000">
      <w:pPr>
        <w:spacing w:line="360" w:lineRule="auto"/>
        <w:ind w:firstLine="723" w:firstLineChars="300"/>
        <w:rPr>
          <w:rFonts w:ascii="宋体" w:hAnsi="宋体" w:cs="宋体"/>
          <w:color w:val="auto"/>
          <w:sz w:val="24"/>
          <w:szCs w:val="24"/>
          <w:highlight w:val="none"/>
        </w:rPr>
      </w:pPr>
      <w:r>
        <w:rPr>
          <w:rFonts w:hint="eastAsia" w:ascii="宋体" w:hAnsi="宋体" w:cs="宋体"/>
          <w:b/>
          <w:color w:val="auto"/>
          <w:sz w:val="24"/>
          <w:szCs w:val="24"/>
          <w:highlight w:val="none"/>
        </w:rPr>
        <w:t>账号：</w:t>
      </w:r>
      <w:r>
        <w:rPr>
          <w:rFonts w:ascii="宋体" w:hAnsi="宋体" w:cs="宋体"/>
          <w:b/>
          <w:color w:val="auto"/>
          <w:sz w:val="24"/>
          <w:szCs w:val="24"/>
          <w:highlight w:val="none"/>
        </w:rPr>
        <w:t>35101570201052503924</w:t>
      </w:r>
    </w:p>
    <w:p w14:paraId="54D4C823">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5、售后服务</w:t>
      </w:r>
    </w:p>
    <w:p w14:paraId="7BA05A38">
      <w:pPr>
        <w:tabs>
          <w:tab w:val="left" w:pos="0"/>
        </w:tabs>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货物验收后的质保、保修等售后服务由</w:t>
      </w:r>
      <w:r>
        <w:rPr>
          <w:rFonts w:hint="eastAsia" w:ascii="宋体" w:hAnsi="宋体" w:cs="宋体"/>
          <w:bCs/>
          <w:color w:val="auto"/>
          <w:sz w:val="24"/>
          <w:szCs w:val="24"/>
          <w:highlight w:val="none"/>
          <w:u w:val="single"/>
          <w:lang w:eastAsia="zh-CN"/>
        </w:rPr>
        <w:t>中标供应商</w:t>
      </w:r>
      <w:r>
        <w:rPr>
          <w:rFonts w:hint="eastAsia" w:ascii="宋体" w:hAnsi="宋体" w:cs="宋体"/>
          <w:bCs/>
          <w:color w:val="auto"/>
          <w:kern w:val="0"/>
          <w:sz w:val="24"/>
          <w:szCs w:val="24"/>
          <w:highlight w:val="none"/>
          <w:u w:val="single"/>
        </w:rPr>
        <w:t>提供，</w:t>
      </w:r>
      <w:r>
        <w:rPr>
          <w:rFonts w:hint="eastAsia" w:ascii="宋体" w:hAnsi="宋体" w:cs="宋体"/>
          <w:bCs/>
          <w:color w:val="auto"/>
          <w:kern w:val="0"/>
          <w:sz w:val="24"/>
          <w:szCs w:val="24"/>
          <w:highlight w:val="none"/>
          <w:u w:val="single"/>
          <w:lang w:eastAsia="zh-CN"/>
        </w:rPr>
        <w:t>中标供应商</w:t>
      </w:r>
      <w:r>
        <w:rPr>
          <w:rFonts w:hint="eastAsia" w:ascii="宋体" w:hAnsi="宋体" w:cs="宋体"/>
          <w:bCs/>
          <w:color w:val="auto"/>
          <w:kern w:val="0"/>
          <w:sz w:val="24"/>
          <w:szCs w:val="24"/>
          <w:highlight w:val="none"/>
          <w:u w:val="single"/>
        </w:rPr>
        <w:t>应按照《采购合同》及采购文件要求提供售后服务，卖方不向买方承担保修等售后服务</w:t>
      </w:r>
      <w:r>
        <w:rPr>
          <w:rFonts w:ascii="宋体" w:hAnsi="宋体" w:cs="宋体"/>
          <w:bCs/>
          <w:color w:val="auto"/>
          <w:kern w:val="0"/>
          <w:sz w:val="24"/>
          <w:szCs w:val="24"/>
          <w:highlight w:val="none"/>
          <w:u w:val="single"/>
        </w:rPr>
        <w:t>义务</w:t>
      </w:r>
      <w:r>
        <w:rPr>
          <w:rFonts w:hint="eastAsia" w:ascii="宋体" w:hAnsi="宋体" w:cs="宋体"/>
          <w:bCs/>
          <w:color w:val="auto"/>
          <w:sz w:val="24"/>
          <w:szCs w:val="24"/>
          <w:highlight w:val="none"/>
        </w:rPr>
        <w:t>。</w:t>
      </w:r>
    </w:p>
    <w:p w14:paraId="07C1429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6、违约责任</w:t>
      </w:r>
    </w:p>
    <w:p w14:paraId="6B069CF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6.1除不可抗力外，买方不能在本合同规定的时间内支付相应的货款时,应向卖方支付违约金,其支付办法是,每延迟一日,违约金为逾期应付款的万分之四,依此累加。</w:t>
      </w:r>
    </w:p>
    <w:p w14:paraId="5C939FB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除不可抗力外，卖方不能按时交货或完成安装时,应提前五天以书面的形式通知买方,并征得买方同意,否则应向买方支付违约金,其支付办法是,每延迟一日,违约金为逾期交货或安装部分价款的万分之四，依此累加。</w:t>
      </w:r>
    </w:p>
    <w:p w14:paraId="37699A3D">
      <w:pPr>
        <w:spacing w:line="360" w:lineRule="auto"/>
        <w:ind w:firstLine="523" w:firstLineChars="218"/>
        <w:rPr>
          <w:rFonts w:ascii="宋体" w:hAnsi="宋体" w:cs="宋体"/>
          <w:color w:val="auto"/>
          <w:sz w:val="24"/>
          <w:szCs w:val="24"/>
          <w:highlight w:val="none"/>
        </w:rPr>
      </w:pPr>
      <w:r>
        <w:rPr>
          <w:rFonts w:hint="eastAsia" w:ascii="宋体" w:hAnsi="宋体" w:cs="宋体"/>
          <w:color w:val="auto"/>
          <w:sz w:val="24"/>
          <w:szCs w:val="24"/>
          <w:highlight w:val="none"/>
        </w:rPr>
        <w:t>6.3一方违反合同造成另一方损失的，违约方应向守约方承担相应的赔偿责任。本合同约定的违约金不足以弥补守约方损失的，违约方应继续承担赔偿责任。</w:t>
      </w:r>
    </w:p>
    <w:p w14:paraId="3A25F072">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7、不可抗力</w:t>
      </w:r>
    </w:p>
    <w:p w14:paraId="799EAD4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18FCFD32">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7.2本合同中的不可抗力指不能预见、不能避免并不能克服的客观情况。包括但不限于：自然灾害如地震、台风、洪水、火灾；政府行为、法律规定或其适用的变化或者其他任何无法预见、避免或者控制的事件。</w:t>
      </w:r>
    </w:p>
    <w:p w14:paraId="4C8D1C9B">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7.3当事人一方因不可抗力的原因不能履行合同的，应及时通知对方，以减轻可能给对方造成的损失，并应当在合理期限内提供证明。</w:t>
      </w:r>
    </w:p>
    <w:p w14:paraId="469357D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8、合同纠纷处理方式：</w:t>
      </w:r>
    </w:p>
    <w:p w14:paraId="4608930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ascii="宋体" w:hAnsi="宋体" w:cs="宋体"/>
          <w:color w:val="auto"/>
          <w:sz w:val="24"/>
          <w:szCs w:val="24"/>
          <w:highlight w:val="none"/>
        </w:rPr>
        <w:t>合同履行地（交货地）人民法院提起诉讼</w:t>
      </w:r>
      <w:r>
        <w:rPr>
          <w:rFonts w:hint="eastAsia" w:ascii="宋体" w:hAnsi="宋体" w:cs="宋体"/>
          <w:color w:val="auto"/>
          <w:sz w:val="24"/>
          <w:szCs w:val="24"/>
          <w:highlight w:val="none"/>
        </w:rPr>
        <w:t>。</w:t>
      </w:r>
    </w:p>
    <w:p w14:paraId="13F5C0A8">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9、其他约定</w:t>
      </w:r>
    </w:p>
    <w:p w14:paraId="459FD24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9.1买卖双方同意，卖方供货经买方验收完成后，卖方即履行完毕所有合同义务。</w:t>
      </w:r>
    </w:p>
    <w:p w14:paraId="214F22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9.2本合同未尽事宜，双方另行补充。</w:t>
      </w:r>
    </w:p>
    <w:p w14:paraId="3048429F">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9.3本项目的下述文件均为本合同不可分割的一部分，且应当互为解释；存在不一致时，应按下列顺序优先解释：</w:t>
      </w:r>
    </w:p>
    <w:p w14:paraId="6D88C5AB">
      <w:pPr>
        <w:widowControl/>
        <w:spacing w:line="360" w:lineRule="auto"/>
        <w:ind w:firstLine="600" w:firstLineChars="25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（1）采购合同</w:t>
      </w:r>
      <w:r>
        <w:rPr>
          <w:rFonts w:hint="eastAsia" w:ascii="宋体" w:hAnsi="宋体" w:cs="宋体"/>
          <w:color w:val="auto"/>
          <w:sz w:val="24"/>
          <w:szCs w:val="24"/>
          <w:highlight w:val="none"/>
          <w:lang w:eastAsia="zh-CN"/>
        </w:rPr>
        <w:t>；</w:t>
      </w:r>
    </w:p>
    <w:p w14:paraId="76BB037C">
      <w:pPr>
        <w:widowControl/>
        <w:spacing w:line="360" w:lineRule="auto"/>
        <w:ind w:firstLine="600" w:firstLineChars="25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（2）买卖合同</w:t>
      </w:r>
      <w:r>
        <w:rPr>
          <w:rFonts w:hint="eastAsia" w:ascii="宋体" w:hAnsi="宋体" w:cs="宋体"/>
          <w:color w:val="auto"/>
          <w:sz w:val="24"/>
          <w:szCs w:val="24"/>
          <w:highlight w:val="none"/>
          <w:lang w:eastAsia="zh-CN"/>
        </w:rPr>
        <w:t>；</w:t>
      </w:r>
    </w:p>
    <w:p w14:paraId="3750CD3C">
      <w:pPr>
        <w:widowControl/>
        <w:spacing w:line="360" w:lineRule="auto"/>
        <w:ind w:firstLine="600" w:firstLineChars="25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（3）招标文件及补充规定</w:t>
      </w:r>
      <w:r>
        <w:rPr>
          <w:rFonts w:hint="eastAsia" w:ascii="宋体" w:hAnsi="宋体" w:cs="宋体"/>
          <w:color w:val="auto"/>
          <w:sz w:val="24"/>
          <w:szCs w:val="24"/>
          <w:highlight w:val="none"/>
          <w:lang w:eastAsia="zh-CN"/>
        </w:rPr>
        <w:t>；</w:t>
      </w:r>
    </w:p>
    <w:p w14:paraId="67030071">
      <w:pPr>
        <w:widowControl/>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（4）投标文件及澄清说明。</w:t>
      </w:r>
    </w:p>
    <w:p w14:paraId="796B100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9.4本合同一式伍份，经双方签订之日起生效。买方执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份，卖方执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份，送厦门市财政局政府采购监管处备案壹份，具有同等法律效力。</w:t>
      </w:r>
    </w:p>
    <w:p w14:paraId="54FA5C17">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（以下无正文）</w:t>
      </w:r>
    </w:p>
    <w:tbl>
      <w:tblPr>
        <w:tblStyle w:val="12"/>
        <w:tblW w:w="9348" w:type="dxa"/>
        <w:jc w:val="center"/>
        <w:tblLayout w:type="fixed"/>
        <w:tblCellMar>
          <w:top w:w="0" w:type="dxa"/>
          <w:left w:w="108" w:type="dxa"/>
          <w:bottom w:w="0" w:type="dxa"/>
          <w:right w:w="108" w:type="dxa"/>
        </w:tblCellMar>
      </w:tblPr>
      <w:tblGrid>
        <w:gridCol w:w="1442"/>
        <w:gridCol w:w="3121"/>
        <w:gridCol w:w="1486"/>
        <w:gridCol w:w="3299"/>
      </w:tblGrid>
      <w:tr w14:paraId="089E83B5">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66E1665">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vAlign w:val="center"/>
          </w:tcPr>
          <w:p w14:paraId="69766690">
            <w:pPr>
              <w:pStyle w:val="7"/>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48350107">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314D32B2">
            <w:pPr>
              <w:pStyle w:val="9"/>
              <w:keepNext w:val="0"/>
              <w:keepLines w:val="0"/>
              <w:suppressLineNumbers w:val="0"/>
              <w:snapToGrid w:val="0"/>
              <w:ind w:left="0" w:right="0"/>
              <w:rPr>
                <w:rFonts w:hint="default"/>
                <w:color w:val="auto"/>
                <w:highlight w:val="none"/>
              </w:rPr>
            </w:pPr>
            <w:r>
              <w:rPr>
                <w:rFonts w:hint="eastAsia"/>
                <w:color w:val="auto"/>
                <w:highlight w:val="none"/>
              </w:rPr>
              <w:t>厦门万翔网络商务有限公司</w:t>
            </w:r>
          </w:p>
        </w:tc>
      </w:tr>
      <w:tr w14:paraId="363D45F7">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12C2B5E">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vAlign w:val="center"/>
          </w:tcPr>
          <w:p w14:paraId="69352333">
            <w:pPr>
              <w:pStyle w:val="7"/>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584F03D1">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504187CC">
            <w:pPr>
              <w:pStyle w:val="9"/>
              <w:keepNext w:val="0"/>
              <w:keepLines w:val="0"/>
              <w:suppressLineNumbers w:val="0"/>
              <w:snapToGrid w:val="0"/>
              <w:ind w:left="0" w:right="0"/>
              <w:rPr>
                <w:rFonts w:hint="default"/>
                <w:color w:val="auto"/>
                <w:highlight w:val="none"/>
              </w:rPr>
            </w:pPr>
            <w:r>
              <w:rPr>
                <w:rFonts w:hint="eastAsia"/>
                <w:color w:val="auto"/>
                <w:highlight w:val="none"/>
              </w:rPr>
              <w:t xml:space="preserve">厦门市湖里区机场北路476号 </w:t>
            </w:r>
          </w:p>
        </w:tc>
      </w:tr>
      <w:tr w14:paraId="2FD43D58">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3A2140F5">
            <w:pPr>
              <w:pStyle w:val="7"/>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vAlign w:val="center"/>
          </w:tcPr>
          <w:p w14:paraId="7B98A6CB">
            <w:pPr>
              <w:pStyle w:val="7"/>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247BC297">
            <w:pPr>
              <w:pStyle w:val="7"/>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611F8C08">
            <w:pPr>
              <w:pStyle w:val="9"/>
              <w:keepNext w:val="0"/>
              <w:keepLines w:val="0"/>
              <w:suppressLineNumbers w:val="0"/>
              <w:snapToGrid w:val="0"/>
              <w:ind w:left="0" w:right="0"/>
              <w:rPr>
                <w:rFonts w:hint="default"/>
                <w:color w:val="auto"/>
                <w:highlight w:val="none"/>
              </w:rPr>
            </w:pPr>
          </w:p>
        </w:tc>
      </w:tr>
      <w:tr w14:paraId="21D00C21">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A839228">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vAlign w:val="center"/>
          </w:tcPr>
          <w:p w14:paraId="7B0D4C14">
            <w:pPr>
              <w:pStyle w:val="7"/>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552CA53A">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4535231F">
            <w:pPr>
              <w:pStyle w:val="9"/>
              <w:keepNext w:val="0"/>
              <w:keepLines w:val="0"/>
              <w:suppressLineNumbers w:val="0"/>
              <w:snapToGrid w:val="0"/>
              <w:ind w:left="0" w:right="0"/>
              <w:rPr>
                <w:rFonts w:hint="default"/>
                <w:color w:val="auto"/>
                <w:highlight w:val="none"/>
              </w:rPr>
            </w:pPr>
          </w:p>
        </w:tc>
      </w:tr>
      <w:tr w14:paraId="28D23276">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AB23175">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vAlign w:val="center"/>
          </w:tcPr>
          <w:p w14:paraId="2D824052">
            <w:pPr>
              <w:pStyle w:val="7"/>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6154EA8B">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5606B63E">
            <w:pPr>
              <w:pStyle w:val="9"/>
              <w:keepNext w:val="0"/>
              <w:keepLines w:val="0"/>
              <w:suppressLineNumbers w:val="0"/>
              <w:snapToGrid w:val="0"/>
              <w:ind w:left="0" w:right="0"/>
              <w:rPr>
                <w:rFonts w:hint="default"/>
                <w:color w:val="auto"/>
                <w:highlight w:val="none"/>
              </w:rPr>
            </w:pPr>
          </w:p>
        </w:tc>
      </w:tr>
      <w:tr w14:paraId="11538FAD">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34027C8">
            <w:pPr>
              <w:pStyle w:val="7"/>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vAlign w:val="center"/>
          </w:tcPr>
          <w:p w14:paraId="5AE00EE8">
            <w:pPr>
              <w:pStyle w:val="7"/>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1FB59D62">
            <w:pPr>
              <w:pStyle w:val="7"/>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3A2DE875">
            <w:pPr>
              <w:pStyle w:val="9"/>
              <w:keepNext w:val="0"/>
              <w:keepLines w:val="0"/>
              <w:suppressLineNumbers w:val="0"/>
              <w:snapToGrid w:val="0"/>
              <w:ind w:left="0" w:right="0"/>
              <w:rPr>
                <w:rFonts w:hint="default"/>
                <w:color w:val="auto"/>
                <w:szCs w:val="18"/>
                <w:highlight w:val="none"/>
              </w:rPr>
            </w:pPr>
            <w:r>
              <w:rPr>
                <w:rFonts w:hint="eastAsia"/>
                <w:color w:val="auto"/>
                <w:highlight w:val="none"/>
              </w:rPr>
              <w:t>中国建设银行股份有限公司厦门自贸试验区航空港支行</w:t>
            </w:r>
          </w:p>
        </w:tc>
      </w:tr>
      <w:tr w14:paraId="68F3C82D">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AEEDF79">
            <w:pPr>
              <w:pStyle w:val="7"/>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vAlign w:val="center"/>
          </w:tcPr>
          <w:p w14:paraId="47294683">
            <w:pPr>
              <w:pStyle w:val="7"/>
              <w:keepNext w:val="0"/>
              <w:keepLines w:val="0"/>
              <w:suppressLineNumbers w:val="0"/>
              <w:spacing w:before="0" w:beforeAutospacing="0" w:after="0" w:afterAutospacing="0"/>
              <w:ind w:left="0" w:right="0"/>
              <w:rPr>
                <w:rFonts w:hint="default" w:ascii="宋体" w:hAnsi="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1F004926">
            <w:pPr>
              <w:pStyle w:val="7"/>
              <w:keepNext w:val="0"/>
              <w:keepLines w:val="0"/>
              <w:suppressLineNumbers w:val="0"/>
              <w:autoSpaceDE w:val="0"/>
              <w:spacing w:before="0" w:beforeAutospacing="0" w:after="0" w:afterAutospacing="0" w:line="360" w:lineRule="auto"/>
              <w:ind w:left="0" w:right="0"/>
              <w:jc w:val="center"/>
              <w:rPr>
                <w:rFonts w:hint="default" w:ascii="宋体" w:hAnsi="宋体"/>
                <w:b/>
                <w:bCs/>
                <w:color w:val="auto"/>
                <w:sz w:val="24"/>
                <w:szCs w:val="24"/>
                <w:highlight w:val="none"/>
              </w:rPr>
            </w:pPr>
            <w:r>
              <w:rPr>
                <w:rFonts w:hint="eastAsia" w:ascii="宋体" w:hAnsi="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2DD7D32F">
            <w:pPr>
              <w:pStyle w:val="9"/>
              <w:keepNext w:val="0"/>
              <w:keepLines w:val="0"/>
              <w:suppressLineNumbers w:val="0"/>
              <w:snapToGrid w:val="0"/>
              <w:ind w:left="0" w:right="0"/>
              <w:rPr>
                <w:rFonts w:hint="default"/>
                <w:color w:val="auto"/>
                <w:szCs w:val="18"/>
                <w:highlight w:val="none"/>
              </w:rPr>
            </w:pPr>
            <w:r>
              <w:rPr>
                <w:rFonts w:hint="eastAsia"/>
                <w:color w:val="auto"/>
                <w:highlight w:val="none"/>
              </w:rPr>
              <w:t xml:space="preserve">35101570201052503924  </w:t>
            </w:r>
          </w:p>
        </w:tc>
      </w:tr>
      <w:tr w14:paraId="4F61A30C">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51469BB">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14:paraId="245D1485">
            <w:pPr>
              <w:pStyle w:val="7"/>
              <w:keepNext w:val="0"/>
              <w:keepLines w:val="0"/>
              <w:suppressLineNumbers w:val="0"/>
              <w:autoSpaceDE w:val="0"/>
              <w:spacing w:before="0" w:beforeAutospacing="0" w:after="0" w:afterAutospacing="0" w:line="360" w:lineRule="auto"/>
              <w:ind w:left="0" w:right="0"/>
              <w:rPr>
                <w:rFonts w:hint="default" w:ascii="宋体" w:hAnsi="宋体"/>
                <w:color w:val="auto"/>
                <w:sz w:val="24"/>
                <w:szCs w:val="24"/>
                <w:highlight w:val="none"/>
              </w:rPr>
            </w:pPr>
          </w:p>
        </w:tc>
        <w:tc>
          <w:tcPr>
            <w:tcW w:w="1486" w:type="dxa"/>
            <w:tcBorders>
              <w:top w:val="single" w:color="auto" w:sz="4" w:space="0"/>
              <w:left w:val="nil"/>
              <w:bottom w:val="single" w:color="auto" w:sz="4" w:space="0"/>
              <w:right w:val="single" w:color="auto" w:sz="4" w:space="0"/>
            </w:tcBorders>
            <w:vAlign w:val="center"/>
          </w:tcPr>
          <w:p w14:paraId="1FFD2EA3">
            <w:pPr>
              <w:pStyle w:val="7"/>
              <w:keepNext w:val="0"/>
              <w:keepLines w:val="0"/>
              <w:suppressLineNumbers w:val="0"/>
              <w:autoSpaceDE w:val="0"/>
              <w:spacing w:before="0" w:beforeAutospacing="0" w:after="0" w:afterAutospacing="0" w:line="360" w:lineRule="auto"/>
              <w:ind w:left="0" w:right="0"/>
              <w:jc w:val="center"/>
              <w:rPr>
                <w:rFonts w:hint="default" w:ascii="宋体" w:hAnsi="宋体"/>
                <w:color w:val="auto"/>
                <w:sz w:val="24"/>
                <w:szCs w:val="24"/>
                <w:highlight w:val="none"/>
              </w:rPr>
            </w:pPr>
            <w:r>
              <w:rPr>
                <w:rFonts w:hint="eastAsia" w:ascii="宋体" w:hAnsi="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19393AB4">
            <w:pPr>
              <w:pStyle w:val="7"/>
              <w:keepNext w:val="0"/>
              <w:keepLines w:val="0"/>
              <w:suppressLineNumbers w:val="0"/>
              <w:autoSpaceDE w:val="0"/>
              <w:spacing w:before="0" w:beforeAutospacing="0" w:after="0" w:afterAutospacing="0" w:line="360" w:lineRule="auto"/>
              <w:ind w:left="0" w:right="0"/>
              <w:rPr>
                <w:rFonts w:hint="default" w:ascii="宋体" w:hAnsi="宋体"/>
                <w:color w:val="auto"/>
                <w:sz w:val="24"/>
                <w:szCs w:val="24"/>
                <w:highlight w:val="none"/>
              </w:rPr>
            </w:pPr>
          </w:p>
        </w:tc>
      </w:tr>
    </w:tbl>
    <w:p w14:paraId="4F5D36AE">
      <w:pPr>
        <w:pStyle w:val="20"/>
        <w:widowControl/>
        <w:ind w:left="-850" w:leftChars="-405" w:firstLine="561"/>
        <w:rPr>
          <w:rFonts w:hint="default" w:ascii="华文楷体" w:hAnsi="华文楷体" w:eastAsia="华文楷体" w:cs="华文楷体"/>
          <w:b/>
          <w:color w:val="auto"/>
          <w:sz w:val="28"/>
          <w:szCs w:val="28"/>
          <w:highlight w:val="none"/>
        </w:rPr>
        <w:sectPr>
          <w:footerReference r:id="rId11" w:type="default"/>
          <w:pgSz w:w="11906" w:h="16838"/>
          <w:pgMar w:top="1440" w:right="1800" w:bottom="1440" w:left="1800" w:header="851" w:footer="992" w:gutter="0"/>
          <w:pgNumType w:fmt="decimal"/>
          <w:cols w:space="720" w:num="1"/>
          <w:docGrid w:type="lines" w:linePitch="312" w:charSpace="0"/>
        </w:sectPr>
      </w:pPr>
    </w:p>
    <w:p w14:paraId="44889100">
      <w:pPr>
        <w:pStyle w:val="20"/>
        <w:widowControl/>
        <w:ind w:left="-850" w:leftChars="-405" w:firstLine="561"/>
        <w:rPr>
          <w:rFonts w:hint="default" w:cs="宋体"/>
          <w:color w:val="auto"/>
          <w:sz w:val="24"/>
          <w:szCs w:val="24"/>
          <w:highlight w:val="none"/>
        </w:rPr>
      </w:pPr>
      <w:r>
        <w:rPr>
          <w:rFonts w:hint="default" w:ascii="华文楷体" w:hAnsi="华文楷体" w:eastAsia="华文楷体" w:cs="华文楷体"/>
          <w:b/>
          <w:color w:val="auto"/>
          <w:sz w:val="28"/>
          <w:szCs w:val="28"/>
          <w:highlight w:val="none"/>
        </w:rPr>
        <w:t>附件</w:t>
      </w:r>
      <w:r>
        <w:rPr>
          <w:rFonts w:ascii="华文楷体" w:hAnsi="华文楷体" w:eastAsia="华文楷体" w:cs="华文楷体"/>
          <w:b/>
          <w:color w:val="auto"/>
          <w:sz w:val="28"/>
          <w:szCs w:val="28"/>
          <w:highlight w:val="none"/>
        </w:rPr>
        <w:t>1</w:t>
      </w:r>
      <w:r>
        <w:rPr>
          <w:rFonts w:hint="default" w:ascii="华文楷体" w:hAnsi="华文楷体" w:eastAsia="华文楷体" w:cs="华文楷体"/>
          <w:b/>
          <w:color w:val="auto"/>
          <w:sz w:val="28"/>
          <w:szCs w:val="28"/>
          <w:highlight w:val="none"/>
        </w:rPr>
        <w:t>：供货清单</w:t>
      </w:r>
    </w:p>
    <w:p w14:paraId="7E9F91BD">
      <w:pPr>
        <w:pStyle w:val="21"/>
        <w:rPr>
          <w:rFonts w:ascii="宋体" w:hAnsi="宋体" w:cs="宋体"/>
          <w:color w:val="auto"/>
          <w:sz w:val="24"/>
          <w:szCs w:val="24"/>
          <w:highlight w:val="none"/>
        </w:rPr>
      </w:pPr>
    </w:p>
    <w:tbl>
      <w:tblPr>
        <w:tblStyle w:val="13"/>
        <w:tblW w:w="10899" w:type="dxa"/>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72"/>
        <w:gridCol w:w="821"/>
        <w:gridCol w:w="994"/>
        <w:gridCol w:w="1445"/>
        <w:gridCol w:w="2977"/>
        <w:gridCol w:w="1276"/>
        <w:gridCol w:w="1417"/>
      </w:tblGrid>
      <w:tr w14:paraId="2E833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97" w:type="dxa"/>
            <w:vAlign w:val="center"/>
          </w:tcPr>
          <w:p w14:paraId="785C925A">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序号</w:t>
            </w:r>
          </w:p>
        </w:tc>
        <w:tc>
          <w:tcPr>
            <w:tcW w:w="1272" w:type="dxa"/>
            <w:vAlign w:val="center"/>
          </w:tcPr>
          <w:p w14:paraId="6EEF804C">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名  称</w:t>
            </w:r>
          </w:p>
        </w:tc>
        <w:tc>
          <w:tcPr>
            <w:tcW w:w="821" w:type="dxa"/>
            <w:vAlign w:val="center"/>
          </w:tcPr>
          <w:p w14:paraId="202B4CF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数量</w:t>
            </w:r>
          </w:p>
        </w:tc>
        <w:tc>
          <w:tcPr>
            <w:tcW w:w="994" w:type="dxa"/>
            <w:vAlign w:val="center"/>
          </w:tcPr>
          <w:p w14:paraId="6F43C07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原产地</w:t>
            </w:r>
          </w:p>
        </w:tc>
        <w:tc>
          <w:tcPr>
            <w:tcW w:w="1445" w:type="dxa"/>
            <w:vAlign w:val="center"/>
          </w:tcPr>
          <w:p w14:paraId="5C553A4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制  造  商</w:t>
            </w:r>
          </w:p>
        </w:tc>
        <w:tc>
          <w:tcPr>
            <w:tcW w:w="2977" w:type="dxa"/>
            <w:vAlign w:val="center"/>
          </w:tcPr>
          <w:p w14:paraId="724BE533">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规   格   型   号</w:t>
            </w:r>
          </w:p>
        </w:tc>
        <w:tc>
          <w:tcPr>
            <w:tcW w:w="1276" w:type="dxa"/>
            <w:vAlign w:val="center"/>
          </w:tcPr>
          <w:p w14:paraId="7F584540">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单价（元）</w:t>
            </w:r>
          </w:p>
        </w:tc>
        <w:tc>
          <w:tcPr>
            <w:tcW w:w="1417" w:type="dxa"/>
          </w:tcPr>
          <w:p w14:paraId="3C7DAC53">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金额（元）</w:t>
            </w:r>
          </w:p>
        </w:tc>
      </w:tr>
      <w:tr w14:paraId="6A422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7106113F">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5056CFB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52306BA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1EC34E9C">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4D5713A6">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18A156EF">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098E20A2">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33C69985">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0CA8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0D42ED5D">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6BE1A1F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138D419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703421E3">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1367A741">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1DA2EB26">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20A233C0">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0759C707">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0B7F2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123A70B8">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53754E3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021FA9B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6CB0BCE5">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31893268">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36D471BF">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0EE45CE0">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01BEA1A4">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EDB6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44B9F7AC">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2ABF0D3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42D6EA8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7D0DB660">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2E726A3C">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22E77E89">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6A61CD65">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7209BC07">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66793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48B311FE">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3BE53CA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67F6D64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7B0433A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2CE3B42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2CD3A863">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3D8AD288">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69D016CB">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683D4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58A601B9">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429275C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677B51A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25FD5FAC">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7E3BC486">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645049BA">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03AFD4ED">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695FA177">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D833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0F9E984A">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2C88D7B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2D6B167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0DB320E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1714EF55">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18DBB2CC">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1167909E">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532BB90F">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19A9E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0C20EAF0">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247C076C">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746D250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461A982F">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4297E553">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2202F15B">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63025510">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2831EC7B">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E459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B181E92">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3B3997F5">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42D0275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025C247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04634D03">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711EBD12">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0D0DB815">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5E5DC733">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15FD7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5E51C24">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3AAE82A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680C5FE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5608D0F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380C0EDF">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3B0F1466">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1CA6DE1C">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4200CE7A">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17185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2582E4BD">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5A1D303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268A373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3EE97DB3">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39FC6D58">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4630B876">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496B7C6F">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2020FCE4">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18F1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24DE626">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493DEB7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5DB9C9B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56E7C2C9">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736BA33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48D36C42">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226CC137">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09ADFA8D">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E15E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0941031">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4D0041D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60CDED2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5E4D4CB3">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764743D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50886669">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23932A72">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1F2E8D19">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686A8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vAlign w:val="center"/>
          </w:tcPr>
          <w:p w14:paraId="341B2EE4">
            <w:pPr>
              <w:keepNext w:val="0"/>
              <w:keepLines w:val="0"/>
              <w:suppressLineNumbers w:val="0"/>
              <w:spacing w:before="0" w:beforeAutospacing="0" w:after="0" w:afterAutospacing="0" w:line="460" w:lineRule="exact"/>
              <w:ind w:left="0" w:right="0"/>
              <w:jc w:val="center"/>
              <w:rPr>
                <w:rFonts w:hint="default" w:ascii="华文楷体" w:hAnsi="华文楷体" w:eastAsia="华文楷体"/>
                <w:color w:val="auto"/>
                <w:kern w:val="0"/>
                <w:sz w:val="24"/>
                <w:highlight w:val="none"/>
              </w:rPr>
            </w:pPr>
          </w:p>
        </w:tc>
        <w:tc>
          <w:tcPr>
            <w:tcW w:w="1272" w:type="dxa"/>
            <w:vAlign w:val="center"/>
          </w:tcPr>
          <w:p w14:paraId="1367C1A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vAlign w:val="center"/>
          </w:tcPr>
          <w:p w14:paraId="7DF0846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vAlign w:val="center"/>
          </w:tcPr>
          <w:p w14:paraId="47751081">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vAlign w:val="center"/>
          </w:tcPr>
          <w:p w14:paraId="32CE653E">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vAlign w:val="center"/>
          </w:tcPr>
          <w:p w14:paraId="2DE3BBA0">
            <w:pPr>
              <w:keepNext w:val="0"/>
              <w:keepLines w:val="0"/>
              <w:suppressLineNumbers w:val="0"/>
              <w:spacing w:before="0" w:beforeAutospacing="0" w:after="0" w:afterAutospacing="0" w:line="460" w:lineRule="exact"/>
              <w:ind w:left="0" w:right="0" w:firstLine="480" w:firstLineChars="200"/>
              <w:rPr>
                <w:rFonts w:hint="default" w:ascii="华文楷体" w:hAnsi="华文楷体" w:eastAsia="华文楷体" w:cs="宋体"/>
                <w:color w:val="auto"/>
                <w:kern w:val="0"/>
                <w:sz w:val="24"/>
                <w:highlight w:val="none"/>
              </w:rPr>
            </w:pPr>
          </w:p>
        </w:tc>
        <w:tc>
          <w:tcPr>
            <w:tcW w:w="1276" w:type="dxa"/>
            <w:vAlign w:val="center"/>
          </w:tcPr>
          <w:p w14:paraId="767D7FD0">
            <w:pPr>
              <w:keepNext w:val="0"/>
              <w:keepLines w:val="0"/>
              <w:suppressLineNumbers w:val="0"/>
              <w:spacing w:before="0" w:beforeAutospacing="0" w:after="0" w:afterAutospacing="0" w:line="460" w:lineRule="exact"/>
              <w:ind w:left="0" w:right="0"/>
              <w:jc w:val="center"/>
              <w:rPr>
                <w:rFonts w:hint="default" w:ascii="华文楷体" w:hAnsi="华文楷体" w:eastAsia="华文楷体"/>
                <w:b/>
                <w:color w:val="auto"/>
                <w:kern w:val="0"/>
                <w:sz w:val="24"/>
                <w:highlight w:val="none"/>
              </w:rPr>
            </w:pPr>
          </w:p>
        </w:tc>
        <w:tc>
          <w:tcPr>
            <w:tcW w:w="1417" w:type="dxa"/>
            <w:vAlign w:val="center"/>
          </w:tcPr>
          <w:p w14:paraId="4D8A5D3C">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70444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6" w:type="dxa"/>
            <w:gridSpan w:val="6"/>
            <w:vAlign w:val="center"/>
          </w:tcPr>
          <w:p w14:paraId="65699ED7">
            <w:pPr>
              <w:keepNext w:val="0"/>
              <w:keepLines w:val="0"/>
              <w:suppressLineNumbers w:val="0"/>
              <w:spacing w:before="0" w:beforeAutospacing="0" w:after="0" w:afterAutospacing="0" w:line="460" w:lineRule="exact"/>
              <w:ind w:left="0" w:right="0"/>
              <w:rPr>
                <w:rFonts w:hint="default" w:ascii="华文楷体" w:hAnsi="华文楷体" w:eastAsia="华文楷体"/>
                <w:b/>
                <w:color w:val="auto"/>
                <w:kern w:val="0"/>
                <w:sz w:val="24"/>
                <w:highlight w:val="none"/>
              </w:rPr>
            </w:pPr>
            <w:r>
              <w:rPr>
                <w:rFonts w:hint="eastAsia" w:ascii="华文楷体" w:hAnsi="华文楷体" w:eastAsia="华文楷体"/>
                <w:b/>
                <w:color w:val="auto"/>
                <w:kern w:val="0"/>
                <w:sz w:val="24"/>
                <w:highlight w:val="none"/>
              </w:rPr>
              <w:t>合计（元）：</w:t>
            </w:r>
          </w:p>
        </w:tc>
        <w:tc>
          <w:tcPr>
            <w:tcW w:w="1276" w:type="dxa"/>
            <w:vAlign w:val="center"/>
          </w:tcPr>
          <w:p w14:paraId="2CB2FBEA">
            <w:pPr>
              <w:keepNext w:val="0"/>
              <w:keepLines w:val="0"/>
              <w:suppressLineNumbers w:val="0"/>
              <w:spacing w:before="0" w:beforeAutospacing="0" w:after="0" w:afterAutospacing="0"/>
              <w:ind w:left="0" w:right="0"/>
              <w:jc w:val="center"/>
              <w:rPr>
                <w:rFonts w:hint="default" w:ascii="华文楷体" w:hAnsi="华文楷体" w:eastAsia="华文楷体"/>
                <w:b/>
                <w:color w:val="auto"/>
                <w:kern w:val="0"/>
                <w:sz w:val="24"/>
                <w:highlight w:val="none"/>
              </w:rPr>
            </w:pPr>
          </w:p>
        </w:tc>
        <w:tc>
          <w:tcPr>
            <w:tcW w:w="1417" w:type="dxa"/>
            <w:vAlign w:val="center"/>
          </w:tcPr>
          <w:p w14:paraId="01C44B1B">
            <w:pPr>
              <w:keepNext w:val="0"/>
              <w:keepLines w:val="0"/>
              <w:suppressLineNumbers w:val="0"/>
              <w:spacing w:before="0" w:beforeAutospacing="0" w:after="0" w:afterAutospacing="0"/>
              <w:ind w:left="0" w:right="0"/>
              <w:jc w:val="center"/>
              <w:rPr>
                <w:rFonts w:hint="default" w:ascii="华文楷体" w:hAnsi="华文楷体" w:eastAsia="华文楷体"/>
                <w:b/>
                <w:color w:val="auto"/>
                <w:kern w:val="0"/>
                <w:sz w:val="24"/>
                <w:highlight w:val="none"/>
              </w:rPr>
            </w:pPr>
          </w:p>
        </w:tc>
      </w:tr>
    </w:tbl>
    <w:p w14:paraId="2FDCBE6D">
      <w:pPr>
        <w:pStyle w:val="20"/>
        <w:widowControl/>
        <w:ind w:left="-850" w:leftChars="-405" w:firstLine="561"/>
        <w:rPr>
          <w:rFonts w:hint="default" w:ascii="华文楷体" w:hAnsi="华文楷体" w:eastAsia="华文楷体" w:cs="华文楷体"/>
          <w:b/>
          <w:color w:val="auto"/>
          <w:sz w:val="28"/>
          <w:szCs w:val="28"/>
          <w:highlight w:val="none"/>
        </w:rPr>
        <w:sectPr>
          <w:footerReference r:id="rId12" w:type="default"/>
          <w:pgSz w:w="11906" w:h="16838"/>
          <w:pgMar w:top="1440" w:right="1800" w:bottom="1440" w:left="1800" w:header="851" w:footer="992" w:gutter="0"/>
          <w:pgNumType w:fmt="decimal"/>
          <w:cols w:space="720" w:num="1"/>
          <w:docGrid w:type="lines" w:linePitch="312" w:charSpace="0"/>
        </w:sectPr>
      </w:pPr>
    </w:p>
    <w:p w14:paraId="480D6E45">
      <w:pPr>
        <w:pStyle w:val="20"/>
        <w:widowControl/>
        <w:ind w:left="-850" w:leftChars="-405" w:firstLine="561"/>
        <w:rPr>
          <w:rFonts w:hint="default" w:ascii="华文楷体" w:hAnsi="华文楷体" w:eastAsia="华文楷体" w:cs="华文楷体"/>
          <w:b/>
          <w:color w:val="auto"/>
          <w:sz w:val="28"/>
          <w:szCs w:val="28"/>
          <w:highlight w:val="none"/>
        </w:rPr>
      </w:pPr>
      <w:r>
        <w:rPr>
          <w:rFonts w:hint="default" w:ascii="华文楷体" w:hAnsi="华文楷体" w:eastAsia="华文楷体" w:cs="华文楷体"/>
          <w:b/>
          <w:color w:val="auto"/>
          <w:sz w:val="28"/>
          <w:szCs w:val="28"/>
          <w:highlight w:val="none"/>
        </w:rPr>
        <w:t>附件</w:t>
      </w:r>
      <w:r>
        <w:rPr>
          <w:rFonts w:ascii="华文楷体" w:hAnsi="华文楷体" w:eastAsia="华文楷体" w:cs="华文楷体"/>
          <w:b/>
          <w:color w:val="auto"/>
          <w:sz w:val="28"/>
          <w:szCs w:val="28"/>
          <w:highlight w:val="none"/>
        </w:rPr>
        <w:t>2</w:t>
      </w:r>
      <w:r>
        <w:rPr>
          <w:rFonts w:hint="default" w:ascii="华文楷体" w:hAnsi="华文楷体" w:eastAsia="华文楷体" w:cs="华文楷体"/>
          <w:b/>
          <w:color w:val="auto"/>
          <w:sz w:val="28"/>
          <w:szCs w:val="28"/>
          <w:highlight w:val="none"/>
        </w:rPr>
        <w:t>：</w:t>
      </w:r>
      <w:r>
        <w:rPr>
          <w:rFonts w:ascii="华文楷体" w:hAnsi="华文楷体" w:eastAsia="华文楷体" w:cs="华文楷体"/>
          <w:b/>
          <w:color w:val="auto"/>
          <w:sz w:val="28"/>
          <w:szCs w:val="28"/>
          <w:highlight w:val="none"/>
        </w:rPr>
        <w:t>厦门市大宗货物政府采购供货验收单</w:t>
      </w:r>
    </w:p>
    <w:p w14:paraId="62959C1A">
      <w:pPr>
        <w:rPr>
          <w:rFonts w:ascii="宋体" w:hAnsi="宋体" w:cs="宋体"/>
          <w:color w:val="auto"/>
          <w:sz w:val="24"/>
          <w:szCs w:val="24"/>
          <w:highlight w:val="none"/>
        </w:rPr>
      </w:pPr>
    </w:p>
    <w:p w14:paraId="4054AD59">
      <w:pPr>
        <w:pStyle w:val="20"/>
        <w:widowControl/>
        <w:ind w:left="-850" w:leftChars="-405" w:firstLine="723"/>
        <w:rPr>
          <w:rFonts w:hint="default" w:cs="宋体"/>
          <w:color w:val="auto"/>
          <w:sz w:val="24"/>
          <w:szCs w:val="24"/>
          <w:highlight w:val="none"/>
        </w:rPr>
      </w:pPr>
      <w:r>
        <w:rPr>
          <w:rFonts w:hint="default"/>
          <w:b/>
          <w:bCs/>
          <w:color w:val="auto"/>
          <w:sz w:val="36"/>
          <w:szCs w:val="36"/>
          <w:highlight w:val="none"/>
        </w:rPr>
        <w:drawing>
          <wp:inline distT="0" distB="0" distL="0" distR="0">
            <wp:extent cx="5273675" cy="7527925"/>
            <wp:effectExtent l="0" t="0" r="14605" b="635"/>
            <wp:docPr id="2" name="图片 3"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副本验收报告格式(最终稿）(2)"/>
                    <pic:cNvPicPr>
                      <a:picLocks noChangeAspect="1" noChangeArrowheads="1"/>
                    </pic:cNvPicPr>
                  </pic:nvPicPr>
                  <pic:blipFill>
                    <a:blip r:embed="rId29"/>
                    <a:srcRect/>
                    <a:stretch>
                      <a:fillRect/>
                    </a:stretch>
                  </pic:blipFill>
                  <pic:spPr>
                    <a:xfrm>
                      <a:off x="0" y="0"/>
                      <a:ext cx="5273675" cy="7527925"/>
                    </a:xfrm>
                    <a:prstGeom prst="rect">
                      <a:avLst/>
                    </a:prstGeom>
                    <a:noFill/>
                    <a:ln w="9525">
                      <a:noFill/>
                      <a:miter lim="800000"/>
                      <a:headEnd/>
                      <a:tailEnd/>
                    </a:ln>
                  </pic:spPr>
                </pic:pic>
              </a:graphicData>
            </a:graphic>
          </wp:inline>
        </w:drawing>
      </w:r>
    </w:p>
    <w:p w14:paraId="35BB1B00">
      <w:pPr>
        <w:spacing w:line="480" w:lineRule="exact"/>
        <w:rPr>
          <w:rFonts w:ascii="宋体" w:hAnsi="宋体"/>
          <w:b/>
          <w:bCs/>
          <w:color w:val="auto"/>
          <w:szCs w:val="21"/>
          <w:highlight w:val="none"/>
        </w:rPr>
      </w:pPr>
    </w:p>
    <w:p w14:paraId="17BF08B9">
      <w:pPr>
        <w:spacing w:line="480" w:lineRule="exact"/>
        <w:rPr>
          <w:rFonts w:ascii="宋体" w:hAnsi="宋体"/>
          <w:b/>
          <w:bCs/>
          <w:color w:val="auto"/>
          <w:szCs w:val="21"/>
          <w:highlight w:val="none"/>
        </w:rPr>
      </w:pPr>
    </w:p>
    <w:p w14:paraId="72C3AA7F">
      <w:pPr>
        <w:spacing w:line="480" w:lineRule="exact"/>
        <w:rPr>
          <w:rFonts w:ascii="宋体" w:hAnsi="宋体"/>
          <w:color w:val="auto"/>
          <w:sz w:val="24"/>
          <w:highlight w:val="none"/>
        </w:rPr>
      </w:pPr>
      <w:r>
        <w:rPr>
          <w:rFonts w:hint="eastAsia" w:ascii="宋体" w:hAnsi="宋体"/>
          <w:b/>
          <w:bCs/>
          <w:color w:val="auto"/>
          <w:szCs w:val="21"/>
          <w:highlight w:val="none"/>
        </w:rPr>
        <w:t>合同附件3：《廉政责任书》</w:t>
      </w:r>
    </w:p>
    <w:p w14:paraId="511CC430">
      <w:pPr>
        <w:spacing w:line="400" w:lineRule="exact"/>
        <w:ind w:firstLine="527" w:firstLineChars="250"/>
        <w:rPr>
          <w:rFonts w:ascii="宋体" w:hAnsi="宋体"/>
          <w:b/>
          <w:bCs/>
          <w:color w:val="auto"/>
          <w:szCs w:val="21"/>
          <w:highlight w:val="none"/>
        </w:rPr>
      </w:pPr>
      <w:r>
        <w:rPr>
          <w:rFonts w:hint="eastAsia" w:ascii="宋体" w:hAnsi="宋体"/>
          <w:b/>
          <w:bCs/>
          <w:color w:val="auto"/>
          <w:szCs w:val="21"/>
          <w:highlight w:val="none"/>
        </w:rPr>
        <w:t>一、甲乙双方的责任</w:t>
      </w:r>
    </w:p>
    <w:p w14:paraId="640A3556">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第一条</w:t>
      </w:r>
      <w:r>
        <w:rPr>
          <w:rFonts w:hint="eastAsia" w:ascii="宋体" w:hAnsi="宋体"/>
          <w:color w:val="auto"/>
          <w:szCs w:val="21"/>
          <w:highlight w:val="none"/>
        </w:rPr>
        <w:t xml:space="preserve">  严格遵守国家关于市场准入、项目招标投标、工程建设等有关法律、法规、政策以及党风廉政建设的各项规定。</w:t>
      </w:r>
    </w:p>
    <w:p w14:paraId="014B3ECD">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 xml:space="preserve">第二条 </w:t>
      </w:r>
      <w:r>
        <w:rPr>
          <w:rFonts w:hint="eastAsia" w:ascii="宋体" w:hAnsi="宋体"/>
          <w:color w:val="auto"/>
          <w:szCs w:val="21"/>
          <w:highlight w:val="none"/>
        </w:rPr>
        <w:t xml:space="preserve"> 严格执行工程建设项目承发包合同文件、物资采购购销合同文件，自觉按合同办事。</w:t>
      </w:r>
    </w:p>
    <w:p w14:paraId="497C6632">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 xml:space="preserve">第三条 </w:t>
      </w:r>
      <w:r>
        <w:rPr>
          <w:rFonts w:hint="eastAsia" w:ascii="宋体" w:hAnsi="宋体"/>
          <w:color w:val="auto"/>
          <w:szCs w:val="21"/>
          <w:highlight w:val="none"/>
        </w:rPr>
        <w:t xml:space="preserve"> 业务活动必须坚持公开、公平、公正和诚信的原则（法律法规另有规定除外），不得为获取不正当的利益，损害国家、集体和对方利益，不得违反工程建设、物资采购管理等规章制度。</w:t>
      </w:r>
    </w:p>
    <w:p w14:paraId="43333AF2">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第四条</w:t>
      </w:r>
      <w:r>
        <w:rPr>
          <w:rFonts w:hint="eastAsia" w:ascii="宋体" w:hAnsi="宋体"/>
          <w:color w:val="auto"/>
          <w:szCs w:val="21"/>
          <w:highlight w:val="none"/>
        </w:rPr>
        <w:t xml:space="preserve">  发现对方在业务活动中有违规、违纪、违法行为的，应及时提醒对方，情节严重的，应向其上级主管部门或纪检监察、司法等有关机关举报。</w:t>
      </w:r>
    </w:p>
    <w:p w14:paraId="34387D47">
      <w:pPr>
        <w:spacing w:line="400" w:lineRule="exact"/>
        <w:ind w:firstLine="527" w:firstLineChars="250"/>
        <w:rPr>
          <w:rFonts w:ascii="宋体" w:hAnsi="宋体"/>
          <w:b/>
          <w:bCs/>
          <w:color w:val="auto"/>
          <w:szCs w:val="21"/>
          <w:highlight w:val="none"/>
        </w:rPr>
      </w:pPr>
      <w:r>
        <w:rPr>
          <w:rFonts w:hint="eastAsia" w:ascii="宋体" w:hAnsi="宋体"/>
          <w:b/>
          <w:bCs/>
          <w:color w:val="auto"/>
          <w:szCs w:val="21"/>
          <w:highlight w:val="none"/>
        </w:rPr>
        <w:t>二、甲方的责任</w:t>
      </w:r>
    </w:p>
    <w:p w14:paraId="43C8C474">
      <w:pPr>
        <w:spacing w:line="400" w:lineRule="exact"/>
        <w:ind w:firstLine="525" w:firstLineChars="250"/>
        <w:rPr>
          <w:rFonts w:ascii="宋体" w:hAnsi="宋体"/>
          <w:color w:val="auto"/>
          <w:szCs w:val="21"/>
          <w:highlight w:val="none"/>
        </w:rPr>
      </w:pPr>
      <w:r>
        <w:rPr>
          <w:rFonts w:hint="eastAsia" w:ascii="宋体" w:hAnsi="宋体"/>
          <w:color w:val="auto"/>
          <w:szCs w:val="21"/>
          <w:highlight w:val="none"/>
        </w:rPr>
        <w:t>甲方的领导和从事该项目的工作人员，在项目的事前、事中、事后应遵守以下规定：</w:t>
      </w:r>
    </w:p>
    <w:p w14:paraId="0DD91196">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第五条</w:t>
      </w:r>
      <w:r>
        <w:rPr>
          <w:rFonts w:hint="eastAsia" w:ascii="宋体" w:hAnsi="宋体"/>
          <w:color w:val="auto"/>
          <w:szCs w:val="21"/>
          <w:highlight w:val="none"/>
        </w:rPr>
        <w:t xml:space="preserve">  不准向乙方和相关单位索要或接受回扣、礼金、有价证券、贵重物品和好处费、感谢费等。</w:t>
      </w:r>
    </w:p>
    <w:p w14:paraId="46C8720F">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第六条</w:t>
      </w:r>
      <w:r>
        <w:rPr>
          <w:rFonts w:hint="eastAsia" w:ascii="宋体" w:hAnsi="宋体"/>
          <w:color w:val="auto"/>
          <w:szCs w:val="21"/>
          <w:highlight w:val="none"/>
        </w:rPr>
        <w:t xml:space="preserve">  不准在乙方和相关单位报销任何应由甲方或个人支付的费用。</w:t>
      </w:r>
    </w:p>
    <w:p w14:paraId="176FD5E9">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第七条</w:t>
      </w:r>
      <w:r>
        <w:rPr>
          <w:rFonts w:hint="eastAsia" w:ascii="宋体" w:hAnsi="宋体"/>
          <w:color w:val="auto"/>
          <w:szCs w:val="21"/>
          <w:highlight w:val="none"/>
        </w:rPr>
        <w:t xml:space="preserve">  不准要求、暗示或接受乙方和相关单位为个人装修住房、婚丧嫁娶、配偶子女的工作安排以及出国（境）、旅游等提供方便。</w:t>
      </w:r>
    </w:p>
    <w:p w14:paraId="25EF0398">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第八条</w:t>
      </w:r>
      <w:r>
        <w:rPr>
          <w:rFonts w:hint="eastAsia" w:ascii="宋体" w:hAnsi="宋体"/>
          <w:color w:val="auto"/>
          <w:szCs w:val="21"/>
          <w:highlight w:val="none"/>
        </w:rPr>
        <w:t xml:space="preserve">  不准参加有可能影响公正执行公务的乙方和相关单位安排的宴请和健身、娱乐等活动。</w:t>
      </w:r>
    </w:p>
    <w:p w14:paraId="27BD2A46">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第九条</w:t>
      </w:r>
      <w:r>
        <w:rPr>
          <w:rFonts w:hint="eastAsia" w:ascii="宋体" w:hAnsi="宋体"/>
          <w:color w:val="auto"/>
          <w:szCs w:val="21"/>
          <w:highlight w:val="none"/>
        </w:rPr>
        <w:t xml:space="preserve">  不准向乙方介绍或为配偶、子女、亲属安排参与同甲方项目合同有关的工程建设、物资采购等经济活动和项目。不得以任何理由要求乙方和相关单位推荐分包单位和要求乙方购买项目合同规定以外的物资等。</w:t>
      </w:r>
    </w:p>
    <w:p w14:paraId="379740BE">
      <w:pPr>
        <w:spacing w:line="400" w:lineRule="exact"/>
        <w:ind w:firstLine="527" w:firstLineChars="250"/>
        <w:rPr>
          <w:rFonts w:ascii="宋体" w:hAnsi="宋体"/>
          <w:b/>
          <w:bCs/>
          <w:color w:val="auto"/>
          <w:szCs w:val="21"/>
          <w:highlight w:val="none"/>
        </w:rPr>
      </w:pPr>
      <w:r>
        <w:rPr>
          <w:rFonts w:hint="eastAsia" w:ascii="宋体" w:hAnsi="宋体"/>
          <w:b/>
          <w:bCs/>
          <w:color w:val="auto"/>
          <w:szCs w:val="21"/>
          <w:highlight w:val="none"/>
        </w:rPr>
        <w:t>三、乙方的责任</w:t>
      </w:r>
    </w:p>
    <w:p w14:paraId="4432486C">
      <w:pPr>
        <w:spacing w:line="400" w:lineRule="exact"/>
        <w:ind w:firstLine="525" w:firstLineChars="250"/>
        <w:rPr>
          <w:rFonts w:ascii="宋体" w:hAnsi="宋体"/>
          <w:color w:val="auto"/>
          <w:szCs w:val="21"/>
          <w:highlight w:val="none"/>
        </w:rPr>
      </w:pPr>
      <w:r>
        <w:rPr>
          <w:rFonts w:hint="eastAsia" w:ascii="宋体" w:hAnsi="宋体"/>
          <w:color w:val="auto"/>
          <w:szCs w:val="21"/>
          <w:highlight w:val="none"/>
        </w:rPr>
        <w:t>应与甲方保持正常的业务交往，按照有关法律法规和程序开展业务工作，严格执行工程建设、物资采购的有关政策规定，尤其是有关工程建设的强制性标准和规范，并遵守以下规定：</w:t>
      </w:r>
    </w:p>
    <w:p w14:paraId="283163B7">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 xml:space="preserve">第十条 </w:t>
      </w:r>
      <w:r>
        <w:rPr>
          <w:rFonts w:hint="eastAsia" w:ascii="宋体" w:hAnsi="宋体"/>
          <w:color w:val="auto"/>
          <w:szCs w:val="21"/>
          <w:highlight w:val="none"/>
        </w:rPr>
        <w:t xml:space="preserve"> 不准以任何理由向甲方、相关单位及其工作人员行贿或赠送礼金、有价证券、贵重物品及回扣、好处费、感谢费等。</w:t>
      </w:r>
    </w:p>
    <w:p w14:paraId="4891087C">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第十一条</w:t>
      </w:r>
      <w:r>
        <w:rPr>
          <w:rFonts w:hint="eastAsia" w:ascii="宋体" w:hAnsi="宋体"/>
          <w:color w:val="auto"/>
          <w:szCs w:val="21"/>
          <w:highlight w:val="none"/>
        </w:rPr>
        <w:t xml:space="preserve">  不准以任何理由为甲方和相关单位报销应由对方或个人支付的费用。</w:t>
      </w:r>
    </w:p>
    <w:p w14:paraId="144EDA79">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第十二条</w:t>
      </w:r>
      <w:r>
        <w:rPr>
          <w:rFonts w:hint="eastAsia" w:ascii="宋体" w:hAnsi="宋体"/>
          <w:color w:val="auto"/>
          <w:szCs w:val="21"/>
          <w:highlight w:val="none"/>
        </w:rPr>
        <w:t xml:space="preserve">  不准接受或暗示为甲方、相关单位或个人装修住房、婚丧嫁娶、配偶子女的工作安排以及出国（境）、旅游等提供方便。</w:t>
      </w:r>
    </w:p>
    <w:p w14:paraId="2CE642E4">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 xml:space="preserve">第十三条 </w:t>
      </w:r>
      <w:r>
        <w:rPr>
          <w:rFonts w:hint="eastAsia" w:ascii="宋体" w:hAnsi="宋体"/>
          <w:color w:val="auto"/>
          <w:szCs w:val="21"/>
          <w:highlight w:val="none"/>
        </w:rPr>
        <w:t xml:space="preserve"> 不准以任何理由为甲方、相关单位或个人组织有可能影响公正执行公务的宴请、健身、娱乐等活动。</w:t>
      </w:r>
    </w:p>
    <w:p w14:paraId="4E02946D">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 xml:space="preserve">第十四条 </w:t>
      </w:r>
      <w:r>
        <w:rPr>
          <w:rFonts w:hint="eastAsia" w:ascii="宋体" w:hAnsi="宋体"/>
          <w:color w:val="auto"/>
          <w:szCs w:val="21"/>
          <w:highlight w:val="none"/>
        </w:rPr>
        <w:t xml:space="preserve"> 不准以任何理由向甲方、相关单位或个人介绍或为其配偶、子女、亲属安排参与同甲方项目合同有关的工程建设、物资采购等经济活动和项目。</w:t>
      </w:r>
    </w:p>
    <w:p w14:paraId="614A56B0">
      <w:pPr>
        <w:spacing w:line="400" w:lineRule="exact"/>
        <w:ind w:firstLine="527" w:firstLineChars="250"/>
        <w:rPr>
          <w:rFonts w:ascii="宋体" w:hAnsi="宋体"/>
          <w:b/>
          <w:bCs/>
          <w:color w:val="auto"/>
          <w:szCs w:val="21"/>
          <w:highlight w:val="none"/>
        </w:rPr>
      </w:pPr>
      <w:r>
        <w:rPr>
          <w:rFonts w:hint="eastAsia" w:ascii="宋体" w:hAnsi="宋体"/>
          <w:b/>
          <w:bCs/>
          <w:color w:val="auto"/>
          <w:szCs w:val="21"/>
          <w:highlight w:val="none"/>
        </w:rPr>
        <w:t>四、违约责任</w:t>
      </w:r>
    </w:p>
    <w:p w14:paraId="569F5ABC">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第十五条</w:t>
      </w:r>
      <w:r>
        <w:rPr>
          <w:rFonts w:hint="eastAsia" w:ascii="宋体" w:hAnsi="宋体"/>
          <w:color w:val="auto"/>
          <w:szCs w:val="21"/>
          <w:highlight w:val="none"/>
        </w:rPr>
        <w:t xml:space="preserve">  甲方工作人员有违反本责任书（一、二）责任行为的，按照管理权限，依据有关法规给予党纪、政纪处分或组织处理；涉嫌违法犯罪的，移交司法机关追究刑事责任；给乙方单位造成经济损失的，应予以赔偿。</w:t>
      </w:r>
    </w:p>
    <w:p w14:paraId="3B81DCF8">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第十六条</w:t>
      </w:r>
      <w:r>
        <w:rPr>
          <w:rFonts w:hint="eastAsia" w:ascii="宋体" w:hAnsi="宋体"/>
          <w:color w:val="auto"/>
          <w:szCs w:val="21"/>
          <w:highlight w:val="none"/>
        </w:rPr>
        <w:t xml:space="preserve">  乙方工作人员有违反本责任书（一、三）责任行为的，甲方有权视违约情节采取取消乙方中标资格、解除合同、没收项目质保金、限制参加学院以后项目招标活动等措施，给甲方造成经济损失的，应予以赔偿。涉嫌违法犯罪的，移交司法机关追究刑事责任。</w:t>
      </w:r>
    </w:p>
    <w:p w14:paraId="3DA675AB">
      <w:pPr>
        <w:spacing w:line="400" w:lineRule="exact"/>
        <w:ind w:firstLine="527" w:firstLineChars="250"/>
        <w:rPr>
          <w:rFonts w:ascii="宋体" w:hAnsi="宋体"/>
          <w:b/>
          <w:bCs/>
          <w:color w:val="auto"/>
          <w:szCs w:val="21"/>
          <w:highlight w:val="none"/>
        </w:rPr>
      </w:pPr>
      <w:r>
        <w:rPr>
          <w:rFonts w:hint="eastAsia" w:ascii="宋体" w:hAnsi="宋体"/>
          <w:b/>
          <w:bCs/>
          <w:color w:val="auto"/>
          <w:szCs w:val="21"/>
          <w:highlight w:val="none"/>
        </w:rPr>
        <w:t>五、附则</w:t>
      </w:r>
    </w:p>
    <w:p w14:paraId="4C370EE9">
      <w:pPr>
        <w:spacing w:line="400" w:lineRule="exact"/>
        <w:ind w:firstLine="527" w:firstLineChars="250"/>
        <w:rPr>
          <w:rFonts w:ascii="宋体" w:hAnsi="宋体"/>
          <w:color w:val="auto"/>
          <w:szCs w:val="21"/>
          <w:highlight w:val="none"/>
        </w:rPr>
      </w:pPr>
      <w:r>
        <w:rPr>
          <w:rFonts w:hint="eastAsia" w:ascii="宋体" w:hAnsi="宋体"/>
          <w:b/>
          <w:bCs/>
          <w:color w:val="auto"/>
          <w:szCs w:val="21"/>
          <w:highlight w:val="none"/>
        </w:rPr>
        <w:t>第十七条</w:t>
      </w:r>
      <w:r>
        <w:rPr>
          <w:rFonts w:hint="eastAsia" w:ascii="宋体" w:hAnsi="宋体"/>
          <w:color w:val="auto"/>
          <w:szCs w:val="21"/>
          <w:highlight w:val="none"/>
        </w:rPr>
        <w:t>　本责任书作为工程施工、勘察、设计、监理或物资采购合同的附件，与工程施工、勘察、设计、监理或物资采购合同具有同等法律效力。</w:t>
      </w:r>
    </w:p>
    <w:p w14:paraId="126D1D7C">
      <w:pPr>
        <w:spacing w:line="360" w:lineRule="auto"/>
        <w:rPr>
          <w:rFonts w:hint="eastAsia" w:ascii="宋体" w:hAnsi="宋体" w:eastAsia="宋体" w:cs="宋体"/>
          <w:color w:val="auto"/>
          <w:sz w:val="24"/>
          <w:szCs w:val="24"/>
          <w:highlight w:val="none"/>
        </w:rPr>
      </w:pPr>
    </w:p>
    <w:p w14:paraId="791B0825">
      <w:pPr>
        <w:rPr>
          <w:color w:val="auto"/>
          <w:highlight w:val="none"/>
        </w:rPr>
      </w:pPr>
    </w:p>
    <w:sectPr>
      <w:footerReference r:id="rId1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4FBB7">
    <w:pPr>
      <w:pStyle w:val="7"/>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16B71">
    <w:pPr>
      <w:pStyle w:val="7"/>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355B7">
    <w:pPr>
      <w:pStyle w:val="7"/>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F80A2">
    <w:pPr>
      <w:pStyle w:val="7"/>
      <w:jc w:val="center"/>
      <w:rPr>
        <w:rFonts w:ascii="宋体" w:hAnsi="宋体"/>
      </w:rPr>
    </w:pPr>
    <w:r>
      <w:rPr>
        <w:rStyle w:val="16"/>
        <w:rFonts w:ascii="宋体" w:hAnsi="宋体"/>
        <w:szCs w:val="20"/>
      </w:rPr>
      <w:t>2-1-</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1BD53">
    <w:pPr>
      <w:pStyle w:val="7"/>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1EE4F">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2151380</wp:posOffset>
              </wp:positionH>
              <wp:positionV relativeFrom="paragraph">
                <wp:posOffset>0</wp:posOffset>
              </wp:positionV>
              <wp:extent cx="696595" cy="21145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696595" cy="2114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64A4C9">
                          <w:pPr>
                            <w:pStyle w:val="7"/>
                            <w:jc w:val="center"/>
                          </w:pPr>
                          <w:r>
                            <w:rPr>
                              <w:rFonts w:hint="eastAsia"/>
                              <w:lang w:val="en-US" w:eastAsia="zh-CN"/>
                            </w:rPr>
                            <w:t>4-</w:t>
                          </w: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69.4pt;margin-top:0pt;height:16.65pt;width:54.85pt;mso-position-horizontal-relative:margin;z-index:251659264;mso-width-relative:page;mso-height-relative:page;" filled="f" stroked="f" coordsize="21600,21600" o:gfxdata="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Ig58nVAAAABwEAAA8AAAAAAAAAAQAgAAAAIgAAAGRycy9kb3ducmV2Lnht&#10;bFBLAQIUABQAAAAIAIdO4kCu6XPxNQIAAGMEAAAOAAAAAAAAAAEAIAAAACQBAABkcnMvZTJvRG9j&#10;LnhtbFBLBQYAAAAABgAGAFkBAADLBQAAAAA=&#10;">
              <v:fill on="f" focussize="0,0"/>
              <v:stroke on="f" weight="0.5pt"/>
              <v:imagedata o:title=""/>
              <o:lock v:ext="edit" aspectratio="f"/>
              <v:textbox inset="0mm,0mm,0mm,0mm">
                <w:txbxContent>
                  <w:p w14:paraId="1164A4C9">
                    <w:pPr>
                      <w:pStyle w:val="7"/>
                      <w:jc w:val="center"/>
                    </w:pPr>
                    <w:r>
                      <w:rPr>
                        <w:rFonts w:hint="eastAsia"/>
                        <w:lang w:val="en-US" w:eastAsia="zh-CN"/>
                      </w:rPr>
                      <w:t>4-</w:t>
                    </w: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792E4">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posOffset>2150110</wp:posOffset>
              </wp:positionH>
              <wp:positionV relativeFrom="paragraph">
                <wp:posOffset>0</wp:posOffset>
              </wp:positionV>
              <wp:extent cx="518795"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51879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7D9391">
                          <w:pPr>
                            <w:pStyle w:val="7"/>
                            <w:jc w:val="center"/>
                          </w:pPr>
                          <w:r>
                            <w:rPr>
                              <w:rFonts w:hint="eastAsia"/>
                              <w:lang w:val="en-US" w:eastAsia="zh-CN"/>
                            </w:rPr>
                            <w:t>4-</w:t>
                          </w: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69.3pt;margin-top:0pt;height:144pt;width:40.85pt;mso-position-horizontal-relative:margin;z-index:251660288;mso-width-relative:page;mso-height-relative:page;" filled="f" stroked="f" coordsize="21600,21600" o:gfxdata="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pmhSyNYAAAAIAQAADwAAAAAAAAABACAAAAAiAAAAZHJzL2Rvd25y&#10;ZXYueG1sUEsBAhQAFAAAAAgAh07iQInDVjY5AgAAZAQAAA4AAAAAAAAAAQAgAAAAJQEAAGRycy9l&#10;Mm9Eb2MueG1sUEsFBgAAAAAGAAYAWQEAANAFAAAAAA==&#10;">
              <v:fill on="f" focussize="0,0"/>
              <v:stroke on="f" weight="0.5pt"/>
              <v:imagedata o:title=""/>
              <o:lock v:ext="edit" aspectratio="f"/>
              <v:textbox inset="0mm,0mm,0mm,0mm" style="mso-fit-shape-to-text:t;">
                <w:txbxContent>
                  <w:p w14:paraId="7D7D9391">
                    <w:pPr>
                      <w:pStyle w:val="7"/>
                      <w:jc w:val="center"/>
                    </w:pPr>
                    <w:r>
                      <w:rPr>
                        <w:rFonts w:hint="eastAsia"/>
                        <w:lang w:val="en-US" w:eastAsia="zh-CN"/>
                      </w:rPr>
                      <w:t>4-</w:t>
                    </w:r>
                    <w:r>
                      <w:fldChar w:fldCharType="begin"/>
                    </w:r>
                    <w:r>
                      <w:instrText xml:space="preserve"> PAGE  \* MERGEFORMAT </w:instrText>
                    </w:r>
                    <w:r>
                      <w:fldChar w:fldCharType="separate"/>
                    </w:r>
                    <w:r>
                      <w:t>7</w:t>
                    </w:r>
                    <w:r>
                      <w:fldChar w:fldCharType="end"/>
                    </w:r>
                  </w:p>
                </w:txbxContent>
              </v:textbox>
            </v:shape>
          </w:pict>
        </mc:Fallback>
      </mc:AlternateContent>
    </w:r>
  </w:p>
  <w:p w14:paraId="0D4EAE95">
    <w:pPr>
      <w:pStyle w:val="7"/>
      <w:ind w:firstLine="4320" w:firstLineChars="240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84AAA">
    <w:pPr>
      <w:pStyle w:val="7"/>
      <w:jc w:val="center"/>
    </w:pPr>
    <w:r>
      <w:rPr>
        <w:sz w:val="18"/>
      </w:rPr>
      <mc:AlternateContent>
        <mc:Choice Requires="wps">
          <w:drawing>
            <wp:anchor distT="0" distB="0" distL="114300" distR="114300" simplePos="0" relativeHeight="251661312" behindDoc="0" locked="0" layoutInCell="1" allowOverlap="1">
              <wp:simplePos x="0" y="0"/>
              <wp:positionH relativeFrom="margin">
                <wp:posOffset>2269490</wp:posOffset>
              </wp:positionH>
              <wp:positionV relativeFrom="paragraph">
                <wp:posOffset>0</wp:posOffset>
              </wp:positionV>
              <wp:extent cx="42799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42799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407B80">
                          <w:pPr>
                            <w:pStyle w:val="7"/>
                            <w:jc w:val="center"/>
                          </w:pPr>
                          <w:r>
                            <w:rPr>
                              <w:rFonts w:hint="eastAsia"/>
                              <w:lang w:val="en-US" w:eastAsia="zh-CN"/>
                            </w:rPr>
                            <w:t>4-</w:t>
                          </w: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8.7pt;margin-top:0pt;height:144pt;width:33.7pt;mso-position-horizontal-relative:margin;z-index:251661312;mso-width-relative:page;mso-height-relative:page;" filled="f" stroked="f" coordsize="21600,21600" o:gfxdata="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bmRQ91gAAAAgBAAAPAAAAAAAAAAEAIAAAACIAAABkcnMvZG93bnJl&#10;di54bWxQSwECFAAUAAAACACHTuJA9T/ZQDgCAABkBAAADgAAAAAAAAABACAAAAAlAQAAZHJzL2Uy&#10;b0RvYy54bWxQSwUGAAAAAAYABgBZAQAAzwUAAAAA&#10;">
              <v:fill on="f" focussize="0,0"/>
              <v:stroke on="f" weight="0.5pt"/>
              <v:imagedata o:title=""/>
              <o:lock v:ext="edit" aspectratio="f"/>
              <v:textbox inset="0mm,0mm,0mm,0mm" style="mso-fit-shape-to-text:t;">
                <w:txbxContent>
                  <w:p w14:paraId="52407B80">
                    <w:pPr>
                      <w:pStyle w:val="7"/>
                      <w:jc w:val="center"/>
                    </w:pPr>
                    <w:r>
                      <w:rPr>
                        <w:rFonts w:hint="eastAsia"/>
                        <w:lang w:val="en-US" w:eastAsia="zh-CN"/>
                      </w:rPr>
                      <w:t>4-</w:t>
                    </w:r>
                    <w:r>
                      <w:fldChar w:fldCharType="begin"/>
                    </w:r>
                    <w:r>
                      <w:instrText xml:space="preserve"> PAGE  \* MERGEFORMAT </w:instrText>
                    </w:r>
                    <w:r>
                      <w:fldChar w:fldCharType="separate"/>
                    </w:r>
                    <w:r>
                      <w:t>12</w:t>
                    </w:r>
                    <w:r>
                      <w:fldChar w:fldCharType="end"/>
                    </w:r>
                  </w:p>
                </w:txbxContent>
              </v:textbox>
            </v:shape>
          </w:pict>
        </mc:Fallback>
      </mc:AlternateContent>
    </w:r>
  </w:p>
  <w:p w14:paraId="6468426A">
    <w:pPr>
      <w:pStyle w:val="7"/>
      <w:ind w:firstLine="4320" w:firstLineChars="240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323A1">
    <w:pPr>
      <w:pStyle w:val="7"/>
      <w:tabs>
        <w:tab w:val="right" w:pos="8460"/>
        <w:tab w:val="clear" w:pos="8306"/>
      </w:tabs>
      <w:ind w:right="-89" w:firstLine="420"/>
      <w:jc w:val="center"/>
      <w:rPr>
        <w:rFonts w:ascii="宋体" w:hAnsi="宋体"/>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812800" cy="174625"/>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812800" cy="1746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C79F82">
                          <w:pPr>
                            <w:pStyle w:val="7"/>
                            <w:tabs>
                              <w:tab w:val="right" w:pos="8460"/>
                              <w:tab w:val="clear" w:pos="8306"/>
                            </w:tabs>
                            <w:ind w:right="-89" w:firstLine="420"/>
                            <w:jc w:val="cente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3.75pt;width:64pt;mso-position-horizontal:center;mso-position-horizontal-relative:margin;z-index:251662336;mso-width-relative:page;mso-height-relative:page;" filled="f" stroked="f" coordsize="21600,21600" o:gfxdata="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myBarTAAAABAEAAA8AAAAAAAAAAQAgAAAAIgAAAGRycy9kb3ducmV2Lnht&#10;bFBLAQIUABQAAAAIAIdO4kB8UnjfNwIAAGMEAAAOAAAAAAAAAAEAIAAAACIBAABkcnMvZTJvRG9j&#10;LnhtbFBLBQYAAAAABgAGAFkBAADLBQAAAAA=&#10;">
              <v:fill on="f" focussize="0,0"/>
              <v:stroke on="f" weight="0.5pt"/>
              <v:imagedata o:title=""/>
              <o:lock v:ext="edit" aspectratio="f"/>
              <v:textbox inset="0mm,0mm,0mm,0mm">
                <w:txbxContent>
                  <w:p w14:paraId="14C79F82">
                    <w:pPr>
                      <w:pStyle w:val="7"/>
                      <w:tabs>
                        <w:tab w:val="right" w:pos="8460"/>
                        <w:tab w:val="clear" w:pos="8306"/>
                      </w:tabs>
                      <w:ind w:right="-89" w:firstLine="420"/>
                      <w:jc w:val="cente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12C97">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A3A1D">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431B9"/>
    <w:rsid w:val="022E44A8"/>
    <w:rsid w:val="03343D40"/>
    <w:rsid w:val="0360013E"/>
    <w:rsid w:val="05080FE1"/>
    <w:rsid w:val="056844D2"/>
    <w:rsid w:val="063B53E6"/>
    <w:rsid w:val="070E48A8"/>
    <w:rsid w:val="07230354"/>
    <w:rsid w:val="07A0171B"/>
    <w:rsid w:val="08493DEA"/>
    <w:rsid w:val="086724C2"/>
    <w:rsid w:val="08E753B1"/>
    <w:rsid w:val="0A1B17B6"/>
    <w:rsid w:val="0AF12517"/>
    <w:rsid w:val="0B275F39"/>
    <w:rsid w:val="0BFA7914"/>
    <w:rsid w:val="0D49563E"/>
    <w:rsid w:val="0D8C6527"/>
    <w:rsid w:val="0F051367"/>
    <w:rsid w:val="0F6B3808"/>
    <w:rsid w:val="103F0670"/>
    <w:rsid w:val="108A31F2"/>
    <w:rsid w:val="110C3C07"/>
    <w:rsid w:val="11867E5D"/>
    <w:rsid w:val="132F62D2"/>
    <w:rsid w:val="13471CD9"/>
    <w:rsid w:val="13FA068E"/>
    <w:rsid w:val="14C34F24"/>
    <w:rsid w:val="15063063"/>
    <w:rsid w:val="16322361"/>
    <w:rsid w:val="17656A86"/>
    <w:rsid w:val="1820443C"/>
    <w:rsid w:val="18F70911"/>
    <w:rsid w:val="19BB08C0"/>
    <w:rsid w:val="1A045DC3"/>
    <w:rsid w:val="1A750A6F"/>
    <w:rsid w:val="1A8C400A"/>
    <w:rsid w:val="1BCD48DA"/>
    <w:rsid w:val="1C163B8C"/>
    <w:rsid w:val="1CDC4DD5"/>
    <w:rsid w:val="1DF4614E"/>
    <w:rsid w:val="1EE2244B"/>
    <w:rsid w:val="1EF83A1C"/>
    <w:rsid w:val="1F4A7580"/>
    <w:rsid w:val="20DA787E"/>
    <w:rsid w:val="20E34258"/>
    <w:rsid w:val="21050673"/>
    <w:rsid w:val="217D46AD"/>
    <w:rsid w:val="22B00914"/>
    <w:rsid w:val="23033DBD"/>
    <w:rsid w:val="235C6C70"/>
    <w:rsid w:val="2391082F"/>
    <w:rsid w:val="249661B1"/>
    <w:rsid w:val="25E1520A"/>
    <w:rsid w:val="2674607E"/>
    <w:rsid w:val="27145E91"/>
    <w:rsid w:val="27196C26"/>
    <w:rsid w:val="27321A96"/>
    <w:rsid w:val="27962024"/>
    <w:rsid w:val="27D50D9F"/>
    <w:rsid w:val="27DA0163"/>
    <w:rsid w:val="27F21951"/>
    <w:rsid w:val="28EA2628"/>
    <w:rsid w:val="29341AF5"/>
    <w:rsid w:val="29B82726"/>
    <w:rsid w:val="2ACD2201"/>
    <w:rsid w:val="2C892A75"/>
    <w:rsid w:val="2DCA2A28"/>
    <w:rsid w:val="2F685CB5"/>
    <w:rsid w:val="2F81180C"/>
    <w:rsid w:val="30BC6FA0"/>
    <w:rsid w:val="313F372D"/>
    <w:rsid w:val="31FE7144"/>
    <w:rsid w:val="32221A22"/>
    <w:rsid w:val="32BA12BD"/>
    <w:rsid w:val="35026356"/>
    <w:rsid w:val="35C30488"/>
    <w:rsid w:val="36034D29"/>
    <w:rsid w:val="36415851"/>
    <w:rsid w:val="3676199F"/>
    <w:rsid w:val="368D6CE8"/>
    <w:rsid w:val="36FB79E7"/>
    <w:rsid w:val="375A6BCB"/>
    <w:rsid w:val="39033292"/>
    <w:rsid w:val="3A322081"/>
    <w:rsid w:val="3A445EED"/>
    <w:rsid w:val="3A7C154E"/>
    <w:rsid w:val="3B934DA1"/>
    <w:rsid w:val="3BEB0739"/>
    <w:rsid w:val="3C6A01D7"/>
    <w:rsid w:val="3D2C2DB7"/>
    <w:rsid w:val="3D8A3F82"/>
    <w:rsid w:val="3E8409D1"/>
    <w:rsid w:val="40052915"/>
    <w:rsid w:val="401F6C03"/>
    <w:rsid w:val="408D71EA"/>
    <w:rsid w:val="41214BFD"/>
    <w:rsid w:val="433C46B1"/>
    <w:rsid w:val="45575091"/>
    <w:rsid w:val="45C1250B"/>
    <w:rsid w:val="47596E9F"/>
    <w:rsid w:val="478F5094"/>
    <w:rsid w:val="48B14AB8"/>
    <w:rsid w:val="4A5676C5"/>
    <w:rsid w:val="4AA523FB"/>
    <w:rsid w:val="4B117A90"/>
    <w:rsid w:val="4DA04681"/>
    <w:rsid w:val="4E086F29"/>
    <w:rsid w:val="5100038B"/>
    <w:rsid w:val="510F6820"/>
    <w:rsid w:val="519311FF"/>
    <w:rsid w:val="51F7178E"/>
    <w:rsid w:val="522462FB"/>
    <w:rsid w:val="52E57838"/>
    <w:rsid w:val="53EA0E7E"/>
    <w:rsid w:val="54E23537"/>
    <w:rsid w:val="56026953"/>
    <w:rsid w:val="567A6E1F"/>
    <w:rsid w:val="58893220"/>
    <w:rsid w:val="5906675A"/>
    <w:rsid w:val="59C363FA"/>
    <w:rsid w:val="5A751DEA"/>
    <w:rsid w:val="5AAC3332"/>
    <w:rsid w:val="5B3C46B5"/>
    <w:rsid w:val="60567FC7"/>
    <w:rsid w:val="61227EAA"/>
    <w:rsid w:val="612D1062"/>
    <w:rsid w:val="61734BA9"/>
    <w:rsid w:val="61907509"/>
    <w:rsid w:val="62C63C6B"/>
    <w:rsid w:val="65420B1A"/>
    <w:rsid w:val="6609788A"/>
    <w:rsid w:val="66CA526B"/>
    <w:rsid w:val="66E005EB"/>
    <w:rsid w:val="67397CFB"/>
    <w:rsid w:val="67C779FD"/>
    <w:rsid w:val="6A024D1C"/>
    <w:rsid w:val="6B032AFA"/>
    <w:rsid w:val="6B0E04DD"/>
    <w:rsid w:val="6BE26BB3"/>
    <w:rsid w:val="6C57134F"/>
    <w:rsid w:val="6CB611D0"/>
    <w:rsid w:val="6DA86676"/>
    <w:rsid w:val="6DD80D8D"/>
    <w:rsid w:val="6E5D0773"/>
    <w:rsid w:val="6EA748A8"/>
    <w:rsid w:val="7060454A"/>
    <w:rsid w:val="71341C5F"/>
    <w:rsid w:val="72600832"/>
    <w:rsid w:val="728A3B01"/>
    <w:rsid w:val="72E42010"/>
    <w:rsid w:val="73541850"/>
    <w:rsid w:val="74420E29"/>
    <w:rsid w:val="7508190D"/>
    <w:rsid w:val="75C4732A"/>
    <w:rsid w:val="75EA3234"/>
    <w:rsid w:val="7625601A"/>
    <w:rsid w:val="76EA1012"/>
    <w:rsid w:val="771F6F0D"/>
    <w:rsid w:val="790E7239"/>
    <w:rsid w:val="793D367B"/>
    <w:rsid w:val="79751067"/>
    <w:rsid w:val="7BF00E78"/>
    <w:rsid w:val="7CA13F21"/>
    <w:rsid w:val="7F073E00"/>
    <w:rsid w:val="7F0C5FC9"/>
    <w:rsid w:val="7F833DB1"/>
    <w:rsid w:val="7F9027E7"/>
    <w:rsid w:val="7FE37A28"/>
    <w:rsid w:val="7FEC1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4">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line="480" w:lineRule="auto"/>
      <w:ind w:left="420"/>
    </w:pPr>
    <w:rPr>
      <w:rFonts w:ascii="Times New Roman" w:hAnsi="Times New Roman"/>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0">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1">
    <w:name w:val="Body Text First Indent 2"/>
    <w:basedOn w:val="4"/>
    <w:next w:val="1"/>
    <w:qFormat/>
    <w:uiPriority w:val="0"/>
    <w:pPr>
      <w:ind w:firstLine="420" w:firstLineChars="200"/>
    </w:pPr>
  </w:style>
  <w:style w:type="table" w:styleId="13">
    <w:name w:val="Table Grid"/>
    <w:basedOn w:val="12"/>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page number"/>
    <w:basedOn w:val="14"/>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18">
    <w:name w:val="font11"/>
    <w:qFormat/>
    <w:uiPriority w:val="0"/>
    <w:rPr>
      <w:rFonts w:hint="eastAsia" w:ascii="宋体" w:hAnsi="宋体" w:eastAsia="宋体" w:cs="宋体"/>
      <w:b/>
      <w:bCs/>
      <w:color w:val="000000"/>
      <w:sz w:val="22"/>
      <w:szCs w:val="22"/>
      <w:u w:val="none"/>
    </w:rPr>
  </w:style>
  <w:style w:type="paragraph" w:customStyle="1" w:styleId="19">
    <w:name w:val="正文（绿盟科技）"/>
    <w:basedOn w:val="1"/>
    <w:qFormat/>
    <w:uiPriority w:val="0"/>
    <w:pPr>
      <w:widowControl/>
      <w:spacing w:line="300" w:lineRule="auto"/>
      <w:jc w:val="left"/>
    </w:pPr>
    <w:rPr>
      <w:rFonts w:ascii="Arial" w:hAnsi="Arial"/>
      <w:kern w:val="0"/>
      <w:szCs w:val="21"/>
    </w:rPr>
  </w:style>
  <w:style w:type="paragraph" w:customStyle="1" w:styleId="20">
    <w:name w:val="*正文"/>
    <w:basedOn w:val="1"/>
    <w:qFormat/>
    <w:uiPriority w:val="0"/>
    <w:pPr>
      <w:spacing w:line="360" w:lineRule="auto"/>
      <w:ind w:firstLine="200" w:firstLineChars="200"/>
    </w:pPr>
    <w:rPr>
      <w:rFonts w:hint="eastAsia" w:ascii="宋体" w:hAnsi="宋体"/>
      <w:sz w:val="22"/>
      <w:szCs w:val="22"/>
    </w:rPr>
  </w:style>
  <w:style w:type="paragraph" w:customStyle="1" w:styleId="21">
    <w:name w:val="Heading2"/>
    <w:basedOn w:val="1"/>
    <w:next w:val="1"/>
    <w:qFormat/>
    <w:uiPriority w:val="0"/>
    <w:pPr>
      <w:textAlignment w:val="baseline"/>
    </w:pPr>
    <w:rPr>
      <w:rFonts w:ascii="等线" w:hAnsi="等线" w:eastAsia="等线"/>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5.png"/><Relationship Id="rId28" Type="http://schemas.openxmlformats.org/officeDocument/2006/relationships/image" Target="media/image14.png"/><Relationship Id="rId27" Type="http://schemas.openxmlformats.org/officeDocument/2006/relationships/image" Target="media/image13.png"/><Relationship Id="rId26" Type="http://schemas.openxmlformats.org/officeDocument/2006/relationships/image" Target="media/image12.png"/><Relationship Id="rId25" Type="http://schemas.openxmlformats.org/officeDocument/2006/relationships/image" Target="media/image11.png"/><Relationship Id="rId24" Type="http://schemas.openxmlformats.org/officeDocument/2006/relationships/image" Target="media/image10.png"/><Relationship Id="rId23" Type="http://schemas.openxmlformats.org/officeDocument/2006/relationships/image" Target="media/image9.png"/><Relationship Id="rId22" Type="http://schemas.openxmlformats.org/officeDocument/2006/relationships/image" Target="media/image8.png"/><Relationship Id="rId21" Type="http://schemas.openxmlformats.org/officeDocument/2006/relationships/image" Target="media/image7.png"/><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2025-11-17T08:06:08Z</dcterms:created>
  <dc:creator>user</dc:creator>
  <cp:lastModifiedBy>Richael</cp:lastModifiedBy>
  <dcterms:modified xsi:type="dcterms:W3CDTF">2025-11-17T08:28:49Z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eyJoZGlkIjoiMmQyOGQ4ZWUxYTFmMTAzMjkwNmY0OWZjM2ZiMDFlYjMiLCJ1c2VySWQiOiIxNTIxMzQzMTE2In0=</vt:lpwstr>
  </property>
  <property fmtid="{D5CDD505-2E9C-101B-9397-08002B2CF9AE}" pid="4" name="ICV">
    <vt:lpwstr>46E171D41952413689E5F28EFDB0DDB8_12</vt:lpwstr>
  </property>
</Properties>
</file>